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156047CE" w:rsidR="00591219" w:rsidRPr="00437367" w:rsidRDefault="00084B9E" w:rsidP="319AFF4E">
            <w:pPr>
              <w:ind w:right="-1333"/>
              <w:rPr>
                <w:rFonts w:ascii="Verdana" w:hAnsi="Verdana"/>
                <w:b/>
                <w:bCs/>
              </w:rPr>
            </w:pPr>
            <w:r>
              <w:rPr>
                <w:rFonts w:ascii="Verdana" w:hAnsi="Verdana"/>
                <w:b/>
                <w:bCs/>
              </w:rPr>
              <w:t>Governance Professional</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50195FD0" w:rsidR="000E2381" w:rsidRPr="00A24020" w:rsidRDefault="001775DD" w:rsidP="001F65D6">
            <w:pPr>
              <w:ind w:right="-1333"/>
              <w:rPr>
                <w:rFonts w:ascii="Verdana" w:hAnsi="Verdana"/>
                <w:b/>
              </w:rPr>
            </w:pPr>
            <w:r>
              <w:rPr>
                <w:rFonts w:ascii="Verdana" w:hAnsi="Verdana"/>
                <w:b/>
              </w:rPr>
              <w:t>VN</w:t>
            </w:r>
            <w:r w:rsidR="00084B9E">
              <w:rPr>
                <w:rFonts w:ascii="Verdana" w:hAnsi="Verdana"/>
                <w:b/>
              </w:rPr>
              <w:t>019</w:t>
            </w:r>
            <w:r w:rsidR="008E3F0A">
              <w:rPr>
                <w:rFonts w:ascii="Verdana" w:hAnsi="Verdana"/>
                <w:b/>
              </w:rPr>
              <w:t>2</w:t>
            </w:r>
            <w:r w:rsidR="00084B9E">
              <w:rPr>
                <w:rFonts w:ascii="Verdana" w:hAnsi="Verdana"/>
                <w:b/>
              </w:rPr>
              <w:t>/26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09D2DB3A" w:rsidR="00591219" w:rsidRPr="00437367" w:rsidRDefault="00561DE8" w:rsidP="001F65D6">
            <w:pPr>
              <w:pStyle w:val="Heading1"/>
              <w:rPr>
                <w:rFonts w:ascii="Verdana" w:hAnsi="Verdana"/>
              </w:rPr>
            </w:pPr>
            <w:r>
              <w:rPr>
                <w:rFonts w:ascii="Verdana" w:hAnsi="Verdana"/>
              </w:rPr>
              <w:t xml:space="preserve">Executive Admin Team </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2E8AE4E3" w:rsidR="00787CB0" w:rsidRDefault="00AA2C8B" w:rsidP="319AFF4E">
            <w:pPr>
              <w:ind w:right="-1333"/>
              <w:rPr>
                <w:rFonts w:ascii="Verdana" w:hAnsi="Verdana"/>
                <w:b/>
                <w:bCs/>
              </w:rPr>
            </w:pPr>
            <w:r>
              <w:rPr>
                <w:rFonts w:ascii="Verdana" w:hAnsi="Verdana"/>
                <w:b/>
                <w:bCs/>
              </w:rPr>
              <w:t>Chair of the Corporation</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6655B43D" w:rsidR="00787CB0" w:rsidRPr="00437367" w:rsidRDefault="00787CB0" w:rsidP="001F65D6">
            <w:pPr>
              <w:ind w:right="-1333"/>
              <w:rPr>
                <w:rFonts w:ascii="Verdana" w:hAnsi="Verdana"/>
                <w:b/>
              </w:rPr>
            </w:pPr>
            <w:r>
              <w:rPr>
                <w:rFonts w:ascii="Verdana" w:hAnsi="Verdana"/>
                <w:b/>
              </w:rPr>
              <w:t>37 hours per week</w:t>
            </w:r>
            <w:r w:rsidR="00AA2C8B">
              <w:rPr>
                <w:rFonts w:ascii="Verdana" w:hAnsi="Verdana"/>
                <w:b/>
              </w:rPr>
              <w:t xml:space="preserve"> – Term time only 39 weeks per annum</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469679D7" w:rsidR="00787CB0" w:rsidRPr="00437367" w:rsidRDefault="00E350CC" w:rsidP="001F65D6">
            <w:pPr>
              <w:ind w:right="-1333"/>
              <w:rPr>
                <w:rFonts w:ascii="Verdana" w:hAnsi="Verdana"/>
                <w:b/>
              </w:rPr>
            </w:pPr>
            <w:r>
              <w:rPr>
                <w:rFonts w:ascii="Verdana" w:hAnsi="Verdana"/>
                <w:b/>
              </w:rPr>
              <w:t>£39,994.58 - £45,930.98</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59E04BEE" w:rsidR="00787CB0" w:rsidRPr="00437367" w:rsidRDefault="00E350CC"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77777777"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a world class college underpinned by our core values of  ambition, respect and connection</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5811A91A" w14:textId="77777777" w:rsidR="00E21AAF" w:rsidRPr="00E21AAF" w:rsidRDefault="00E21AAF" w:rsidP="00BB32AE">
      <w:pPr>
        <w:pStyle w:val="ListParagraph"/>
        <w:numPr>
          <w:ilvl w:val="0"/>
          <w:numId w:val="1"/>
        </w:numPr>
        <w:jc w:val="both"/>
        <w:rPr>
          <w:rFonts w:ascii="Verdana" w:hAnsi="Verdana"/>
        </w:rPr>
      </w:pPr>
      <w:r w:rsidRPr="00E21AAF">
        <w:rPr>
          <w:rFonts w:ascii="Verdana" w:hAnsi="Verdana"/>
        </w:rPr>
        <w:t>The role of the Governance Professional provides independent advice, support and leadership in all areas of corporate governance to the Chair, the Corporation, its committees, subsidiaries and the Executive Leadership Team to drive and embed governance best practice, support the Corporation in achieving its Strategic Mission and ensure risks to governance practice are highlighted and if necessary escalated to regulatory bodies.</w:t>
      </w:r>
    </w:p>
    <w:p w14:paraId="38912EB4" w14:textId="08591068" w:rsidR="00E21AAF" w:rsidRPr="00E21AAF" w:rsidRDefault="00E21AAF" w:rsidP="00BB32AE">
      <w:pPr>
        <w:pStyle w:val="ListParagraph"/>
        <w:numPr>
          <w:ilvl w:val="0"/>
          <w:numId w:val="1"/>
        </w:numPr>
        <w:jc w:val="both"/>
        <w:rPr>
          <w:rFonts w:ascii="Verdana" w:hAnsi="Verdana"/>
        </w:rPr>
      </w:pPr>
      <w:r w:rsidRPr="00E21AAF">
        <w:rPr>
          <w:rFonts w:ascii="Verdana" w:hAnsi="Verdana"/>
        </w:rPr>
        <w:t xml:space="preserve">The Governance Professional is an </w:t>
      </w:r>
      <w:r w:rsidR="00C9696C">
        <w:rPr>
          <w:rFonts w:ascii="Verdana" w:hAnsi="Verdana"/>
        </w:rPr>
        <w:t>O</w:t>
      </w:r>
      <w:r w:rsidRPr="00E21AAF">
        <w:rPr>
          <w:rFonts w:ascii="Verdana" w:hAnsi="Verdana"/>
        </w:rPr>
        <w:t xml:space="preserve">fficer of the Corporation and is designated a Senior Post Holder. </w:t>
      </w:r>
    </w:p>
    <w:p w14:paraId="34B971DA" w14:textId="77777777" w:rsidR="00E21AAF" w:rsidRPr="00E21AAF" w:rsidRDefault="00E21AAF" w:rsidP="00BB32AE">
      <w:pPr>
        <w:pStyle w:val="ListParagraph"/>
        <w:numPr>
          <w:ilvl w:val="0"/>
          <w:numId w:val="1"/>
        </w:numPr>
        <w:jc w:val="both"/>
        <w:rPr>
          <w:rFonts w:ascii="Verdana" w:hAnsi="Verdana"/>
        </w:rPr>
      </w:pPr>
      <w:r w:rsidRPr="00E21AAF">
        <w:rPr>
          <w:rFonts w:ascii="Verdana" w:hAnsi="Verdana"/>
        </w:rPr>
        <w:t>The Governance Professional should lead and support governance, within Telford College, designing, implementing and maintaining governance frameworks and providing strategic advice, as part of the Triumvirate, to ensure the college operates with integrity and in compliance with legal and regulatory requirements.</w:t>
      </w:r>
    </w:p>
    <w:p w14:paraId="49519674" w14:textId="77777777" w:rsidR="00E21AAF" w:rsidRDefault="00E21AAF" w:rsidP="00BB32AE">
      <w:pPr>
        <w:pStyle w:val="ListParagraph"/>
        <w:numPr>
          <w:ilvl w:val="0"/>
          <w:numId w:val="1"/>
        </w:numPr>
        <w:jc w:val="both"/>
        <w:rPr>
          <w:rFonts w:ascii="Verdana" w:hAnsi="Verdana"/>
        </w:rPr>
      </w:pPr>
      <w:r w:rsidRPr="00E21AAF">
        <w:rPr>
          <w:rFonts w:ascii="Verdana" w:hAnsi="Verdana"/>
        </w:rPr>
        <w:t>With the ability to confidently and effectively communicate and collaborate effectively with a diverse range of stakeholders, providing leadership and guidance to the Corporation, facilitating robust and effective decision-making processes, promoting transparency and ensuring governors are well equipped to fulfil their roles and responsibilities.</w:t>
      </w:r>
    </w:p>
    <w:p w14:paraId="38C94353" w14:textId="77777777" w:rsidR="001A3AF1" w:rsidRDefault="001A3AF1" w:rsidP="001A3AF1">
      <w:pPr>
        <w:jc w:val="both"/>
        <w:rPr>
          <w:rFonts w:ascii="Verdana" w:hAnsi="Verdana"/>
        </w:rPr>
      </w:pPr>
    </w:p>
    <w:p w14:paraId="01CA53AD" w14:textId="058017E7" w:rsidR="001A3AF1" w:rsidRDefault="001A3AF1" w:rsidP="001A3AF1">
      <w:pPr>
        <w:jc w:val="both"/>
        <w:rPr>
          <w:rFonts w:ascii="Verdana" w:hAnsi="Verdana"/>
          <w:b/>
          <w:bCs/>
          <w:u w:val="single"/>
        </w:rPr>
      </w:pPr>
      <w:r>
        <w:rPr>
          <w:rFonts w:ascii="Verdana" w:hAnsi="Verdana"/>
          <w:b/>
          <w:bCs/>
          <w:u w:val="single"/>
        </w:rPr>
        <w:t>Key Objectives</w:t>
      </w:r>
    </w:p>
    <w:p w14:paraId="0B7B0067" w14:textId="77777777" w:rsidR="001A3AF1" w:rsidRDefault="001A3AF1" w:rsidP="001A3AF1">
      <w:pPr>
        <w:jc w:val="both"/>
        <w:rPr>
          <w:rFonts w:ascii="Verdana" w:hAnsi="Verdana"/>
          <w:b/>
          <w:bCs/>
          <w:u w:val="single"/>
        </w:rPr>
      </w:pPr>
    </w:p>
    <w:p w14:paraId="75CCA86D" w14:textId="0B6EDF2A" w:rsidR="001A3AF1" w:rsidRDefault="001A3AF1" w:rsidP="001A3AF1">
      <w:pPr>
        <w:jc w:val="both"/>
        <w:rPr>
          <w:rFonts w:ascii="Verdana" w:hAnsi="Verdana"/>
        </w:rPr>
      </w:pPr>
      <w:r>
        <w:rPr>
          <w:rFonts w:ascii="Verdana" w:hAnsi="Verdana"/>
        </w:rPr>
        <w:t>The current ket objectives of the role are:</w:t>
      </w:r>
    </w:p>
    <w:p w14:paraId="7850DC84" w14:textId="77777777" w:rsidR="001A3AF1" w:rsidRDefault="001A3AF1" w:rsidP="001A3AF1">
      <w:pPr>
        <w:jc w:val="both"/>
        <w:rPr>
          <w:rFonts w:ascii="Verdana" w:hAnsi="Verdana"/>
        </w:rPr>
      </w:pPr>
    </w:p>
    <w:p w14:paraId="232C61EA" w14:textId="6B5C473D" w:rsidR="001A3AF1" w:rsidRDefault="001A3AF1" w:rsidP="001A3AF1">
      <w:pPr>
        <w:pStyle w:val="ListParagraph"/>
        <w:numPr>
          <w:ilvl w:val="0"/>
          <w:numId w:val="9"/>
        </w:numPr>
        <w:jc w:val="both"/>
        <w:rPr>
          <w:rFonts w:ascii="Verdana" w:hAnsi="Verdana"/>
        </w:rPr>
      </w:pPr>
      <w:r>
        <w:rPr>
          <w:rFonts w:ascii="Verdana" w:hAnsi="Verdana"/>
        </w:rPr>
        <w:t>To promote and support effective governance across the Corporation, including governance self-assessment</w:t>
      </w:r>
      <w:r w:rsidR="004827C8">
        <w:rPr>
          <w:rFonts w:ascii="Verdana" w:hAnsi="Verdana"/>
        </w:rPr>
        <w:t xml:space="preserve">, governor recruitment, induction and development, governor updating and the procurement </w:t>
      </w:r>
      <w:r w:rsidR="0097669B">
        <w:rPr>
          <w:rFonts w:ascii="Verdana" w:hAnsi="Verdana"/>
        </w:rPr>
        <w:t>of professional advice.</w:t>
      </w:r>
    </w:p>
    <w:p w14:paraId="1FCCDB00" w14:textId="59B624ED" w:rsidR="0097669B" w:rsidRDefault="0097669B" w:rsidP="001A3AF1">
      <w:pPr>
        <w:pStyle w:val="ListParagraph"/>
        <w:numPr>
          <w:ilvl w:val="0"/>
          <w:numId w:val="9"/>
        </w:numPr>
        <w:jc w:val="both"/>
        <w:rPr>
          <w:rFonts w:ascii="Verdana" w:hAnsi="Verdana"/>
        </w:rPr>
      </w:pPr>
      <w:r>
        <w:rPr>
          <w:rFonts w:ascii="Verdana" w:hAnsi="Verdana"/>
        </w:rPr>
        <w:t>To act as</w:t>
      </w:r>
      <w:r w:rsidR="002B6426">
        <w:rPr>
          <w:rFonts w:ascii="Verdana" w:hAnsi="Verdana"/>
        </w:rPr>
        <w:t xml:space="preserve"> Clerk to the Governing Body to ensure the effective operation of the Corporation and its Committees, issuing agendas and ensuring that a timely, accurate and suitable formal record is kept of the proceedings and decisions to the Corporation.</w:t>
      </w:r>
    </w:p>
    <w:p w14:paraId="7048FD49" w14:textId="3D8B0C74" w:rsidR="002B6426" w:rsidRPr="001A3AF1" w:rsidRDefault="00B308EF" w:rsidP="001A3AF1">
      <w:pPr>
        <w:pStyle w:val="ListParagraph"/>
        <w:numPr>
          <w:ilvl w:val="0"/>
          <w:numId w:val="9"/>
        </w:numPr>
        <w:jc w:val="both"/>
        <w:rPr>
          <w:rFonts w:ascii="Verdana" w:hAnsi="Verdana"/>
        </w:rPr>
      </w:pPr>
      <w:r>
        <w:rPr>
          <w:rFonts w:ascii="Verdana" w:hAnsi="Verdana"/>
        </w:rPr>
        <w:lastRenderedPageBreak/>
        <w:t xml:space="preserve">To advise the Chair and Governing Body on compliance with the requirements of the College’s Instruments and Articles, statutory requirements, the general law, and the Governing Body Standing Orders. </w:t>
      </w:r>
    </w:p>
    <w:p w14:paraId="3BCEC0B8" w14:textId="77777777" w:rsidR="001C6857" w:rsidRDefault="001C6857" w:rsidP="4DC06140">
      <w:pPr>
        <w:rPr>
          <w:color w:val="000000" w:themeColor="text1"/>
        </w:rPr>
      </w:pPr>
    </w:p>
    <w:p w14:paraId="5188B77F" w14:textId="77777777" w:rsidR="001C6857" w:rsidRDefault="001C6857"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2A16D17E" w14:textId="77777777" w:rsidR="00726AF0" w:rsidRDefault="00726AF0" w:rsidP="00726AF0">
      <w:pPr>
        <w:jc w:val="both"/>
        <w:rPr>
          <w:rFonts w:ascii="Verdana" w:hAnsi="Verdana"/>
          <w:b/>
          <w:bCs/>
          <w:u w:val="single"/>
        </w:rPr>
      </w:pPr>
      <w:r w:rsidRPr="004A431F">
        <w:rPr>
          <w:rFonts w:ascii="Verdana" w:hAnsi="Verdana"/>
          <w:b/>
          <w:bCs/>
          <w:u w:val="single"/>
        </w:rPr>
        <w:t>Governance Leadership &amp; Advisory</w:t>
      </w:r>
    </w:p>
    <w:p w14:paraId="5B38D723" w14:textId="77777777" w:rsidR="004A431F" w:rsidRPr="004A431F" w:rsidRDefault="004A431F" w:rsidP="00726AF0">
      <w:pPr>
        <w:jc w:val="both"/>
        <w:rPr>
          <w:rFonts w:ascii="Verdana" w:hAnsi="Verdana"/>
          <w:b/>
          <w:bCs/>
          <w:u w:val="single"/>
        </w:rPr>
      </w:pPr>
    </w:p>
    <w:p w14:paraId="486F9CC6" w14:textId="77777777" w:rsidR="00726AF0" w:rsidRPr="00726AF0" w:rsidRDefault="00726AF0" w:rsidP="00BB32AE">
      <w:pPr>
        <w:pStyle w:val="ListParagraph"/>
        <w:numPr>
          <w:ilvl w:val="0"/>
          <w:numId w:val="6"/>
        </w:numPr>
        <w:spacing w:after="160" w:line="259" w:lineRule="auto"/>
        <w:contextualSpacing/>
        <w:rPr>
          <w:rFonts w:ascii="Verdana" w:hAnsi="Verdana"/>
        </w:rPr>
      </w:pPr>
      <w:r w:rsidRPr="00726AF0">
        <w:rPr>
          <w:rFonts w:ascii="Verdana" w:hAnsi="Verdana"/>
        </w:rPr>
        <w:t xml:space="preserve">To ensure that the Governing Body operates within its powers as outlined in the Instrument and Articles, the education acts and other relevant law affecting governance. </w:t>
      </w:r>
    </w:p>
    <w:p w14:paraId="7CDE3523" w14:textId="77777777" w:rsidR="00726AF0" w:rsidRPr="00726AF0" w:rsidRDefault="00726AF0" w:rsidP="00BB32AE">
      <w:pPr>
        <w:pStyle w:val="ListParagraph"/>
        <w:numPr>
          <w:ilvl w:val="0"/>
          <w:numId w:val="6"/>
        </w:numPr>
        <w:spacing w:after="160" w:line="259" w:lineRule="auto"/>
        <w:contextualSpacing/>
        <w:rPr>
          <w:rFonts w:ascii="Verdana" w:hAnsi="Verdana"/>
        </w:rPr>
      </w:pPr>
      <w:r w:rsidRPr="00726AF0">
        <w:rPr>
          <w:rFonts w:ascii="Verdana" w:hAnsi="Verdana"/>
        </w:rPr>
        <w:t>Working with the Chair, the Chairs of Committees and the Principal &amp; Chief Executive Office and their team, to maintain and update an annual cycle of business and a one-year rolling schedule of meetings.</w:t>
      </w:r>
    </w:p>
    <w:p w14:paraId="73A97E6A" w14:textId="77777777" w:rsidR="00726AF0" w:rsidRPr="00726AF0" w:rsidRDefault="00726AF0" w:rsidP="00BB32AE">
      <w:pPr>
        <w:pStyle w:val="ListParagraph"/>
        <w:numPr>
          <w:ilvl w:val="0"/>
          <w:numId w:val="6"/>
        </w:numPr>
        <w:spacing w:after="160" w:line="259" w:lineRule="auto"/>
        <w:contextualSpacing/>
        <w:rPr>
          <w:rFonts w:ascii="Verdana" w:hAnsi="Verdana"/>
        </w:rPr>
      </w:pPr>
      <w:r w:rsidRPr="00726AF0">
        <w:rPr>
          <w:rFonts w:ascii="Verdana" w:hAnsi="Verdana"/>
        </w:rPr>
        <w:t>To keep abreast of relevant legislative, regulatory, and other changes that have a bearing on further education and charity governance.</w:t>
      </w:r>
    </w:p>
    <w:p w14:paraId="4863AEB4" w14:textId="77777777" w:rsidR="00726AF0" w:rsidRPr="00726AF0" w:rsidRDefault="00726AF0" w:rsidP="00BB32AE">
      <w:pPr>
        <w:pStyle w:val="ListParagraph"/>
        <w:numPr>
          <w:ilvl w:val="0"/>
          <w:numId w:val="6"/>
        </w:numPr>
        <w:spacing w:after="160" w:line="259" w:lineRule="auto"/>
        <w:contextualSpacing/>
        <w:rPr>
          <w:rFonts w:ascii="Verdana" w:hAnsi="Verdana"/>
        </w:rPr>
      </w:pPr>
      <w:r w:rsidRPr="00726AF0">
        <w:rPr>
          <w:rFonts w:ascii="Verdana" w:hAnsi="Verdana"/>
        </w:rPr>
        <w:t xml:space="preserve">Where appropriate prepare regular updates for Governors and clear, concise briefing papers and reports on governance and other relevant matters. </w:t>
      </w:r>
    </w:p>
    <w:p w14:paraId="33321585" w14:textId="77777777" w:rsidR="00726AF0" w:rsidRPr="00726AF0" w:rsidRDefault="00726AF0" w:rsidP="00BB32AE">
      <w:pPr>
        <w:pStyle w:val="ListParagraph"/>
        <w:numPr>
          <w:ilvl w:val="0"/>
          <w:numId w:val="6"/>
        </w:numPr>
        <w:spacing w:after="160" w:line="259" w:lineRule="auto"/>
        <w:contextualSpacing/>
        <w:jc w:val="both"/>
        <w:rPr>
          <w:rFonts w:ascii="Verdana" w:hAnsi="Verdana"/>
        </w:rPr>
      </w:pPr>
      <w:r w:rsidRPr="00726AF0">
        <w:rPr>
          <w:rFonts w:ascii="Verdana" w:hAnsi="Verdana"/>
        </w:rPr>
        <w:t>Provide authoritative and independent governance advice to the Chair, Corporation and Committees.</w:t>
      </w:r>
    </w:p>
    <w:p w14:paraId="237058E6" w14:textId="77777777" w:rsidR="00726AF0" w:rsidRPr="00726AF0"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Lead the development and continuous improvement of governance frameworks, policies and practices.</w:t>
      </w:r>
    </w:p>
    <w:p w14:paraId="280F3145" w14:textId="77777777" w:rsidR="00726AF0" w:rsidRPr="00726AF0"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Ensure robust governance oversight, including risk, assurance and accountability frameworks.</w:t>
      </w:r>
    </w:p>
    <w:p w14:paraId="69E1E301" w14:textId="77777777" w:rsidR="00726AF0" w:rsidRPr="00726AF0"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Fulfil the statutory responsibilities of the Governance Professional as defined in the Instrument and Articles of Government.</w:t>
      </w:r>
    </w:p>
    <w:p w14:paraId="19CE8D62" w14:textId="77777777" w:rsidR="00726AF0" w:rsidRPr="00726AF0" w:rsidRDefault="00726AF0" w:rsidP="00BB32AE">
      <w:pPr>
        <w:pStyle w:val="ListParagraph"/>
        <w:numPr>
          <w:ilvl w:val="0"/>
          <w:numId w:val="6"/>
        </w:numPr>
        <w:spacing w:line="259" w:lineRule="auto"/>
        <w:contextualSpacing/>
        <w:rPr>
          <w:rFonts w:ascii="Verdana" w:hAnsi="Verdana"/>
        </w:rPr>
      </w:pPr>
      <w:r w:rsidRPr="00726AF0">
        <w:rPr>
          <w:rFonts w:ascii="Verdana" w:hAnsi="Verdana"/>
        </w:rPr>
        <w:t>Drafting of regulatory returns and statutory governance documentation, ensuring they accurately reflect governance arrangements, compliance and sources of assurance.</w:t>
      </w:r>
    </w:p>
    <w:p w14:paraId="2412B149" w14:textId="77777777" w:rsidR="00726AF0" w:rsidRPr="00726AF0"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Lead governance self-assessment, improvement planning and external review readiness.</w:t>
      </w:r>
    </w:p>
    <w:p w14:paraId="246EEBA3" w14:textId="619F30BA" w:rsidR="00726AF0" w:rsidRPr="004A431F"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Act as Clerk to the Corporation, ensuring lawful and compliant conduct of business.</w:t>
      </w:r>
    </w:p>
    <w:p w14:paraId="4E529160" w14:textId="77777777" w:rsidR="00726AF0" w:rsidRPr="00726AF0"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Act as the designated Whistleblowing Officer, ensuring appropriate governance oversight of concerns raised in line with the College's whistleblowing policy and regulatory expectations.</w:t>
      </w:r>
    </w:p>
    <w:p w14:paraId="509FDC73" w14:textId="77777777" w:rsidR="00726AF0" w:rsidRPr="00726AF0" w:rsidRDefault="00726AF0" w:rsidP="00BB32AE">
      <w:pPr>
        <w:pStyle w:val="ListParagraph"/>
        <w:numPr>
          <w:ilvl w:val="0"/>
          <w:numId w:val="6"/>
        </w:numPr>
        <w:spacing w:line="259" w:lineRule="auto"/>
        <w:contextualSpacing/>
        <w:jc w:val="both"/>
        <w:rPr>
          <w:rFonts w:ascii="Verdana" w:hAnsi="Verdana"/>
        </w:rPr>
      </w:pPr>
      <w:r w:rsidRPr="00726AF0">
        <w:rPr>
          <w:rFonts w:ascii="Verdana" w:hAnsi="Verdana"/>
        </w:rPr>
        <w:t>Act as custodian of the Common Seal.</w:t>
      </w:r>
    </w:p>
    <w:p w14:paraId="1FD91A0C" w14:textId="77777777" w:rsidR="00726AF0" w:rsidRPr="0083584F" w:rsidRDefault="00726AF0" w:rsidP="004A431F">
      <w:pPr>
        <w:ind w:left="360"/>
        <w:jc w:val="both"/>
        <w:rPr>
          <w:u w:val="single"/>
        </w:rPr>
      </w:pPr>
    </w:p>
    <w:p w14:paraId="66C8F1E8" w14:textId="2EA2416B" w:rsidR="00726AF0" w:rsidRDefault="00726AF0" w:rsidP="004A431F">
      <w:pPr>
        <w:ind w:left="360"/>
        <w:jc w:val="both"/>
        <w:rPr>
          <w:rFonts w:ascii="Verdana" w:hAnsi="Verdana"/>
          <w:b/>
          <w:bCs/>
          <w:u w:val="single"/>
        </w:rPr>
      </w:pPr>
      <w:r w:rsidRPr="004A431F">
        <w:rPr>
          <w:rFonts w:ascii="Verdana" w:hAnsi="Verdana"/>
          <w:b/>
          <w:bCs/>
          <w:u w:val="single"/>
        </w:rPr>
        <w:t>Governance Operations &amp; Administration</w:t>
      </w:r>
    </w:p>
    <w:p w14:paraId="5B8377B1" w14:textId="77777777" w:rsidR="003E504F" w:rsidRPr="004A431F" w:rsidRDefault="003E504F" w:rsidP="004A431F">
      <w:pPr>
        <w:ind w:left="360"/>
        <w:jc w:val="both"/>
        <w:rPr>
          <w:rFonts w:ascii="Verdana" w:hAnsi="Verdana"/>
          <w:u w:val="single"/>
        </w:rPr>
      </w:pPr>
    </w:p>
    <w:p w14:paraId="45F55049"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To organise, administer and minute the meetings of the Governors, keeping and updating action-records, and, where appropriate, formulating follow-up instructions.</w:t>
      </w:r>
    </w:p>
    <w:p w14:paraId="6F15D5C9"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Provide governance administration as part of the Corporation’s control framework, ensuring the effective coordination of meetings, the integrity and accessibility of governance records, and the secure management of confidential information.</w:t>
      </w:r>
    </w:p>
    <w:p w14:paraId="33B774FC"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Maintain robust governance systems and processes to ensure accurate record-keeping, transparency of decision-making, and compliance with statutory requirements.</w:t>
      </w:r>
    </w:p>
    <w:p w14:paraId="200FAFDB"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Maintain and oversee statutory governance registers, including the Register of Interests, ensuring accuracy, transparency and compliance with regulatory requirements.</w:t>
      </w:r>
    </w:p>
    <w:p w14:paraId="14DA22E7"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To organise, within the resources available, the provision of appropriate administrative support to Governing Body members</w:t>
      </w:r>
    </w:p>
    <w:p w14:paraId="0F79B031"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Develop governance systems and digital tools where appropriate to improve efficiency and compliance.</w:t>
      </w:r>
    </w:p>
    <w:p w14:paraId="4A690B16" w14:textId="77777777"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lastRenderedPageBreak/>
        <w:t>Enable effective Board and Committee performance through strategic agenda planning and alignment to organisational priorities.</w:t>
      </w:r>
    </w:p>
    <w:p w14:paraId="3ADB292D" w14:textId="26D3E0FC" w:rsidR="00726AF0" w:rsidRPr="00726AF0"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Support the Governing body with</w:t>
      </w:r>
      <w:r w:rsidR="005A2756">
        <w:rPr>
          <w:rFonts w:ascii="Verdana" w:hAnsi="Verdana"/>
        </w:rPr>
        <w:t xml:space="preserve"> </w:t>
      </w:r>
      <w:r w:rsidRPr="00726AF0">
        <w:rPr>
          <w:rFonts w:ascii="Verdana" w:hAnsi="Verdana"/>
        </w:rPr>
        <w:t>the recruitment, induction, training and ongoing development of governors, and succession planning, ensuring appropriate eligibility and due diligence checks are undertaken in line with statutory and regulatory requirements.</w:t>
      </w:r>
    </w:p>
    <w:p w14:paraId="0707C983" w14:textId="66C7C8B7" w:rsidR="00DE6EF7" w:rsidRDefault="00726AF0" w:rsidP="00BB32AE">
      <w:pPr>
        <w:pStyle w:val="ListParagraph"/>
        <w:numPr>
          <w:ilvl w:val="0"/>
          <w:numId w:val="7"/>
        </w:numPr>
        <w:spacing w:line="259" w:lineRule="auto"/>
        <w:contextualSpacing/>
        <w:jc w:val="both"/>
        <w:rPr>
          <w:rFonts w:ascii="Verdana" w:hAnsi="Verdana"/>
        </w:rPr>
      </w:pPr>
      <w:r w:rsidRPr="00726AF0">
        <w:rPr>
          <w:rFonts w:ascii="Verdana" w:hAnsi="Verdana"/>
        </w:rPr>
        <w:t>Promote governance engagement across the organisation and ensure the Board is informed by stakeholder perspectives.</w:t>
      </w:r>
    </w:p>
    <w:p w14:paraId="5D9F8614" w14:textId="77777777" w:rsidR="004A431F" w:rsidRPr="004A431F" w:rsidRDefault="004A431F" w:rsidP="004A431F">
      <w:pPr>
        <w:pStyle w:val="ListParagraph"/>
        <w:spacing w:line="259" w:lineRule="auto"/>
        <w:contextualSpacing/>
        <w:jc w:val="both"/>
        <w:rPr>
          <w:rFonts w:ascii="Verdana" w:hAnsi="Verdana"/>
        </w:rPr>
      </w:pPr>
    </w:p>
    <w:p w14:paraId="7252B7AE" w14:textId="77777777" w:rsidR="00DE6EF7" w:rsidRPr="00DE6EF7" w:rsidRDefault="00DE6EF7" w:rsidP="00DE6EF7">
      <w:pPr>
        <w:rPr>
          <w:rFonts w:ascii="Verdana" w:hAnsi="Verdana" w:cs="Arial"/>
        </w:rPr>
      </w:pPr>
      <w:r w:rsidRPr="00DE6EF7">
        <w:rPr>
          <w:rFonts w:ascii="Verdana" w:hAnsi="Verdana"/>
        </w:rPr>
        <w:t>From time-to-time these responsibilities may be reviewed so that they evolve as part of the college’s strategic growth and success.</w:t>
      </w:r>
      <w:r w:rsidRPr="00DE6EF7">
        <w:rPr>
          <w:rFonts w:ascii="Verdana" w:hAnsi="Verdana" w:cs="Arial"/>
        </w:rPr>
        <w:t> </w:t>
      </w:r>
      <w:r w:rsidRPr="00DE6EF7">
        <w:rPr>
          <w:rFonts w:ascii="Verdana" w:hAnsi="Verdana"/>
        </w:rPr>
        <w:t>You may also be required to take on other tasks related to the job to support the college in the delivery of its strategic aims, without changing the role's main purpose.</w:t>
      </w:r>
      <w:r w:rsidRPr="00DE6EF7">
        <w:rPr>
          <w:rFonts w:ascii="Verdana" w:hAnsi="Verdana" w:cs="Arial"/>
        </w:rPr>
        <w:t> </w:t>
      </w:r>
    </w:p>
    <w:p w14:paraId="557F31E6" w14:textId="1D9C819D" w:rsidR="319AFF4E" w:rsidRDefault="319AFF4E" w:rsidP="319AFF4E">
      <w:pPr>
        <w:spacing w:beforeAutospacing="1" w:after="160" w:line="259" w:lineRule="auto"/>
        <w:rPr>
          <w:rFonts w:ascii="Verdana" w:hAnsi="Verdana"/>
          <w:b/>
          <w:bCs/>
          <w:u w:val="single"/>
        </w:rPr>
      </w:pP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BB32AE">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BB32AE">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BB32AE">
      <w:pPr>
        <w:numPr>
          <w:ilvl w:val="0"/>
          <w:numId w:val="4"/>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BB32AE">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BB32AE">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BB32AE">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BB32AE">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BB32AE">
      <w:pPr>
        <w:numPr>
          <w:ilvl w:val="0"/>
          <w:numId w:val="2"/>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BB32AE">
      <w:pPr>
        <w:numPr>
          <w:ilvl w:val="0"/>
          <w:numId w:val="2"/>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461F1880" w14:textId="77777777" w:rsidR="008D1EBD" w:rsidRDefault="00213791" w:rsidP="00B308EF">
      <w:pP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542D3041" w:rsidR="00B660F5" w:rsidRPr="00213791" w:rsidRDefault="003669BE" w:rsidP="00BB32AE">
            <w:pPr>
              <w:pStyle w:val="BodyText"/>
              <w:numPr>
                <w:ilvl w:val="0"/>
                <w:numId w:val="5"/>
              </w:numPr>
              <w:tabs>
                <w:tab w:val="left" w:pos="426"/>
              </w:tabs>
              <w:ind w:left="457" w:hanging="457"/>
              <w:rPr>
                <w:rFonts w:ascii="Verdana" w:eastAsia="Verdana" w:hAnsi="Verdana" w:cs="Verdana"/>
                <w:b w:val="0"/>
              </w:rPr>
            </w:pPr>
            <w:r>
              <w:rPr>
                <w:rFonts w:ascii="Verdana" w:eastAsia="Verdana" w:hAnsi="Verdana" w:cs="Verdana"/>
                <w:b w:val="0"/>
              </w:rPr>
              <w:t>Level 2 English and Maths</w:t>
            </w:r>
          </w:p>
        </w:tc>
        <w:tc>
          <w:tcPr>
            <w:tcW w:w="1276" w:type="dxa"/>
            <w:vAlign w:val="center"/>
          </w:tcPr>
          <w:p w14:paraId="13417E15" w14:textId="10721903" w:rsidR="008D1EBD" w:rsidRDefault="00344017"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532F9A66" w:rsidR="008D1EBD" w:rsidRDefault="008D1EBD" w:rsidP="319AFF4E">
            <w:pPr>
              <w:jc w:val="center"/>
              <w:rPr>
                <w:rFonts w:ascii="Verdana" w:eastAsia="Verdana" w:hAnsi="Verdana" w:cs="Verdana"/>
              </w:rPr>
            </w:pPr>
          </w:p>
        </w:tc>
        <w:tc>
          <w:tcPr>
            <w:tcW w:w="1334" w:type="dxa"/>
            <w:vAlign w:val="center"/>
          </w:tcPr>
          <w:p w14:paraId="3AF3DD90" w14:textId="78091996" w:rsidR="008D1EBD" w:rsidRPr="00213791" w:rsidRDefault="0098478D" w:rsidP="007A2214">
            <w:pPr>
              <w:jc w:val="center"/>
              <w:rPr>
                <w:rFonts w:ascii="Verdana" w:hAnsi="Verdana"/>
              </w:rPr>
            </w:pPr>
            <w:r>
              <w:rPr>
                <w:rFonts w:ascii="Verdana" w:hAnsi="Verdana"/>
              </w:rPr>
              <w:t>A/C</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63856B71" w:rsidR="00B660F5" w:rsidRPr="00BE1556" w:rsidRDefault="003669BE" w:rsidP="00BB32AE">
            <w:pPr>
              <w:pStyle w:val="BodyText"/>
              <w:numPr>
                <w:ilvl w:val="0"/>
                <w:numId w:val="5"/>
              </w:numPr>
              <w:ind w:left="457" w:hanging="457"/>
              <w:rPr>
                <w:rFonts w:ascii="Verdana" w:eastAsia="Verdana" w:hAnsi="Verdana" w:cs="Verdana"/>
                <w:b w:val="0"/>
              </w:rPr>
            </w:pPr>
            <w:r>
              <w:rPr>
                <w:rFonts w:ascii="Verdana" w:eastAsia="Verdana" w:hAnsi="Verdana" w:cs="Verdana"/>
                <w:b w:val="0"/>
              </w:rPr>
              <w:t>Relevant degree or equivalent qualification</w:t>
            </w:r>
          </w:p>
        </w:tc>
        <w:tc>
          <w:tcPr>
            <w:tcW w:w="1276" w:type="dxa"/>
            <w:vAlign w:val="center"/>
          </w:tcPr>
          <w:p w14:paraId="165D7522" w14:textId="5CB9072E" w:rsidR="008D1EBD" w:rsidRPr="00BE1556" w:rsidRDefault="008D1EBD" w:rsidP="319AFF4E">
            <w:pPr>
              <w:jc w:val="center"/>
              <w:rPr>
                <w:rFonts w:ascii="Verdana" w:eastAsia="Verdana" w:hAnsi="Verdana" w:cs="Verdana"/>
              </w:rPr>
            </w:pPr>
          </w:p>
          <w:p w14:paraId="497B8F02" w14:textId="7E269FF9" w:rsidR="008D1EBD" w:rsidRPr="00BE1556" w:rsidRDefault="008D1EBD" w:rsidP="319AFF4E">
            <w:pPr>
              <w:jc w:val="center"/>
              <w:rPr>
                <w:rFonts w:ascii="Verdana" w:hAnsi="Verdana"/>
                <w:b/>
                <w:bCs/>
              </w:rPr>
            </w:pPr>
          </w:p>
        </w:tc>
        <w:tc>
          <w:tcPr>
            <w:tcW w:w="1334" w:type="dxa"/>
            <w:vAlign w:val="center"/>
          </w:tcPr>
          <w:p w14:paraId="3F7A4918" w14:textId="77777777" w:rsidR="00E672D8" w:rsidRPr="00BE1556" w:rsidRDefault="00E672D8" w:rsidP="00E672D8">
            <w:pPr>
              <w:jc w:val="center"/>
              <w:rPr>
                <w:rFonts w:ascii="Verdana" w:eastAsia="Verdana" w:hAnsi="Verdana" w:cs="Verdana"/>
              </w:rPr>
            </w:pPr>
            <w:r w:rsidRPr="319AFF4E">
              <w:rPr>
                <w:rFonts w:ascii="MS Gothic" w:eastAsia="MS Gothic" w:hAnsi="MS Gothic" w:cs="MS Gothic"/>
                <w:lang w:val="en-US"/>
              </w:rPr>
              <w:t>✓</w:t>
            </w:r>
          </w:p>
          <w:p w14:paraId="242A27E1" w14:textId="77777777" w:rsidR="008D1EBD" w:rsidRPr="00BE1556" w:rsidRDefault="008D1EBD" w:rsidP="007A2214">
            <w:pPr>
              <w:jc w:val="center"/>
              <w:rPr>
                <w:rFonts w:ascii="Verdana" w:hAnsi="Verdana"/>
                <w:b/>
              </w:rPr>
            </w:pPr>
          </w:p>
        </w:tc>
        <w:tc>
          <w:tcPr>
            <w:tcW w:w="1334" w:type="dxa"/>
            <w:vAlign w:val="center"/>
          </w:tcPr>
          <w:p w14:paraId="0048A8A7" w14:textId="6C6D3C35" w:rsidR="008D1EBD" w:rsidRPr="00213791" w:rsidRDefault="0098478D" w:rsidP="007A2214">
            <w:pPr>
              <w:jc w:val="center"/>
              <w:rPr>
                <w:rFonts w:ascii="Verdana" w:hAnsi="Verdana"/>
              </w:rPr>
            </w:pPr>
            <w:r>
              <w:rPr>
                <w:rFonts w:ascii="Verdana" w:hAnsi="Verdana"/>
              </w:rPr>
              <w:t>A/C</w:t>
            </w:r>
          </w:p>
        </w:tc>
      </w:tr>
      <w:tr w:rsidR="008D1EBD" w14:paraId="2B70D96F" w14:textId="77777777" w:rsidTr="4DC06140">
        <w:trPr>
          <w:trHeight w:val="550"/>
        </w:trPr>
        <w:tc>
          <w:tcPr>
            <w:tcW w:w="5920" w:type="dxa"/>
            <w:vAlign w:val="center"/>
          </w:tcPr>
          <w:p w14:paraId="7B20CE69" w14:textId="7F401687" w:rsidR="00B660F5" w:rsidRPr="007B0D91" w:rsidRDefault="003669BE" w:rsidP="00BB32AE">
            <w:pPr>
              <w:pStyle w:val="ListParagraph"/>
              <w:numPr>
                <w:ilvl w:val="0"/>
                <w:numId w:val="5"/>
              </w:numPr>
              <w:ind w:left="457" w:hanging="457"/>
              <w:rPr>
                <w:rFonts w:ascii="Verdana" w:eastAsia="Verdana" w:hAnsi="Verdana" w:cs="Verdana"/>
              </w:rPr>
            </w:pPr>
            <w:r>
              <w:rPr>
                <w:rFonts w:ascii="Verdana" w:eastAsia="Verdana" w:hAnsi="Verdana" w:cs="Verdana"/>
              </w:rPr>
              <w:t>Governance professional qualification (e.g. CGI) or willingness to attain qualifications</w:t>
            </w:r>
          </w:p>
        </w:tc>
        <w:tc>
          <w:tcPr>
            <w:tcW w:w="1276" w:type="dxa"/>
            <w:vAlign w:val="center"/>
          </w:tcPr>
          <w:p w14:paraId="4E0280D2" w14:textId="62142B99" w:rsidR="008D1EBD" w:rsidRPr="00213791" w:rsidRDefault="008D1EBD" w:rsidP="007A2214">
            <w:pPr>
              <w:jc w:val="center"/>
              <w:rPr>
                <w:rFonts w:ascii="Verdana" w:hAnsi="Verdana"/>
                <w:b/>
              </w:rPr>
            </w:pPr>
          </w:p>
        </w:tc>
        <w:tc>
          <w:tcPr>
            <w:tcW w:w="1334" w:type="dxa"/>
            <w:vAlign w:val="center"/>
          </w:tcPr>
          <w:p w14:paraId="2C29F55D" w14:textId="77777777" w:rsidR="00E672D8" w:rsidRPr="00BE1556" w:rsidRDefault="00E672D8" w:rsidP="00E672D8">
            <w:pPr>
              <w:jc w:val="center"/>
              <w:rPr>
                <w:rFonts w:ascii="Verdana" w:eastAsia="Verdana" w:hAnsi="Verdana" w:cs="Verdana"/>
              </w:rPr>
            </w:pPr>
            <w:r w:rsidRPr="319AFF4E">
              <w:rPr>
                <w:rFonts w:ascii="MS Gothic" w:eastAsia="MS Gothic" w:hAnsi="MS Gothic" w:cs="MS Gothic"/>
                <w:lang w:val="en-US"/>
              </w:rPr>
              <w:t>✓</w:t>
            </w:r>
          </w:p>
          <w:p w14:paraId="2932521E" w14:textId="14977873" w:rsidR="003C6788" w:rsidRDefault="003C6788" w:rsidP="007A2214">
            <w:pPr>
              <w:jc w:val="center"/>
              <w:rPr>
                <w:rFonts w:ascii="Verdana" w:hAnsi="Verdana"/>
                <w:b/>
              </w:rPr>
            </w:pPr>
          </w:p>
        </w:tc>
        <w:tc>
          <w:tcPr>
            <w:tcW w:w="1334" w:type="dxa"/>
            <w:vAlign w:val="center"/>
          </w:tcPr>
          <w:p w14:paraId="0A850080" w14:textId="25B9E728" w:rsidR="008D1EBD" w:rsidRPr="00B16BA3" w:rsidRDefault="0098478D" w:rsidP="007A2214">
            <w:pPr>
              <w:jc w:val="center"/>
              <w:rPr>
                <w:rFonts w:ascii="Verdana" w:hAnsi="Verdana"/>
              </w:rPr>
            </w:pPr>
            <w:r>
              <w:rPr>
                <w:rFonts w:ascii="Verdana" w:hAnsi="Verdana"/>
              </w:rPr>
              <w:t>A/C</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43770F52" w:rsidR="00B660F5" w:rsidRPr="007B0D91" w:rsidRDefault="00E672D8" w:rsidP="00BB32AE">
            <w:pPr>
              <w:pStyle w:val="ListParagraph"/>
              <w:numPr>
                <w:ilvl w:val="0"/>
                <w:numId w:val="5"/>
              </w:numPr>
              <w:ind w:left="457" w:hanging="457"/>
              <w:rPr>
                <w:rFonts w:ascii="Verdana" w:eastAsia="Verdana" w:hAnsi="Verdana" w:cs="Verdana"/>
              </w:rPr>
            </w:pPr>
            <w:r>
              <w:rPr>
                <w:rFonts w:ascii="Verdana" w:eastAsia="Verdana" w:hAnsi="Verdana" w:cs="Verdana"/>
              </w:rPr>
              <w:t>Understanding of governance and management interface</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32DBCC16" w:rsidR="008D1EBD" w:rsidRPr="00B16BA3" w:rsidRDefault="00E3175A" w:rsidP="007A2214">
            <w:pPr>
              <w:jc w:val="center"/>
              <w:rPr>
                <w:rFonts w:ascii="Verdana" w:hAnsi="Verdana"/>
              </w:rPr>
            </w:pPr>
            <w:r>
              <w:rPr>
                <w:rFonts w:ascii="Verdana" w:hAnsi="Verdana"/>
              </w:rPr>
              <w:t>I/A</w:t>
            </w:r>
          </w:p>
        </w:tc>
      </w:tr>
      <w:tr w:rsidR="008D1EBD" w14:paraId="4C9B2336" w14:textId="77777777" w:rsidTr="4DC06140">
        <w:trPr>
          <w:trHeight w:val="550"/>
        </w:trPr>
        <w:tc>
          <w:tcPr>
            <w:tcW w:w="5920" w:type="dxa"/>
            <w:vAlign w:val="center"/>
          </w:tcPr>
          <w:p w14:paraId="04403F34" w14:textId="25E768B2" w:rsidR="00B660F5" w:rsidRPr="007B0D91" w:rsidRDefault="00E672D8" w:rsidP="00BB32AE">
            <w:pPr>
              <w:pStyle w:val="ListParagraph"/>
              <w:numPr>
                <w:ilvl w:val="0"/>
                <w:numId w:val="5"/>
              </w:numPr>
              <w:ind w:left="457" w:hanging="457"/>
              <w:rPr>
                <w:rFonts w:ascii="Verdana" w:eastAsia="Verdana" w:hAnsi="Verdana" w:cs="Verdana"/>
              </w:rPr>
            </w:pPr>
            <w:r>
              <w:rPr>
                <w:rFonts w:ascii="Verdana" w:eastAsia="Verdana" w:hAnsi="Verdana" w:cs="Verdana"/>
              </w:rPr>
              <w:t>Professional relationship-building</w:t>
            </w:r>
          </w:p>
        </w:tc>
        <w:tc>
          <w:tcPr>
            <w:tcW w:w="1276" w:type="dxa"/>
            <w:vAlign w:val="center"/>
          </w:tcPr>
          <w:p w14:paraId="44EB2799" w14:textId="182C48BE" w:rsidR="00213791" w:rsidRPr="00E672D8" w:rsidRDefault="00E672D8" w:rsidP="00E672D8">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0C5AE3AA" w14:textId="7D37A7A2" w:rsidR="008D1EBD" w:rsidRDefault="008D1EBD" w:rsidP="319AFF4E">
            <w:pPr>
              <w:jc w:val="center"/>
              <w:rPr>
                <w:rFonts w:ascii="Verdana" w:eastAsia="Verdana" w:hAnsi="Verdana" w:cs="Verdana"/>
              </w:rPr>
            </w:pPr>
          </w:p>
        </w:tc>
        <w:tc>
          <w:tcPr>
            <w:tcW w:w="1334" w:type="dxa"/>
            <w:vAlign w:val="center"/>
          </w:tcPr>
          <w:p w14:paraId="15DCA463" w14:textId="42319D90" w:rsidR="008D1EBD" w:rsidRPr="00B16BA3" w:rsidRDefault="00E3175A" w:rsidP="007A2214">
            <w:pPr>
              <w:jc w:val="center"/>
              <w:rPr>
                <w:rFonts w:ascii="Verdana" w:hAnsi="Verdana"/>
              </w:rPr>
            </w:pPr>
            <w:r>
              <w:rPr>
                <w:rFonts w:ascii="Verdana" w:hAnsi="Verdana"/>
              </w:rPr>
              <w:t>I/A</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47AE5EFB" w:rsidR="009C5680" w:rsidRPr="007B0D91" w:rsidRDefault="008E4EA1" w:rsidP="00BB32AE">
            <w:pPr>
              <w:pStyle w:val="ListParagraph"/>
              <w:numPr>
                <w:ilvl w:val="0"/>
                <w:numId w:val="5"/>
              </w:numPr>
              <w:ind w:left="457" w:hanging="457"/>
              <w:rPr>
                <w:rFonts w:ascii="Verdana" w:eastAsia="Verdana" w:hAnsi="Verdana" w:cs="Verdana"/>
              </w:rPr>
            </w:pPr>
            <w:r>
              <w:rPr>
                <w:rFonts w:ascii="Verdana" w:eastAsia="Verdana" w:hAnsi="Verdana" w:cs="Verdana"/>
              </w:rPr>
              <w:t>Teamwork and flexibility</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52F22DB4" w:rsidR="008D1EBD" w:rsidRPr="00B16BA3" w:rsidRDefault="00E3175A" w:rsidP="007A2214">
            <w:pPr>
              <w:jc w:val="center"/>
              <w:rPr>
                <w:rFonts w:ascii="Verdana" w:hAnsi="Verdana"/>
              </w:rPr>
            </w:pPr>
            <w:r>
              <w:rPr>
                <w:rFonts w:ascii="Verdana" w:hAnsi="Verdana"/>
              </w:rPr>
              <w:t>I/A</w:t>
            </w:r>
          </w:p>
        </w:tc>
      </w:tr>
      <w:tr w:rsidR="008D1EBD" w14:paraId="4D304531" w14:textId="77777777" w:rsidTr="4DC06140">
        <w:trPr>
          <w:trHeight w:val="550"/>
        </w:trPr>
        <w:tc>
          <w:tcPr>
            <w:tcW w:w="5920" w:type="dxa"/>
            <w:vAlign w:val="center"/>
          </w:tcPr>
          <w:p w14:paraId="0640AB8F" w14:textId="647DF8F4" w:rsidR="00B660F5" w:rsidRPr="007B0D91" w:rsidRDefault="008E4EA1" w:rsidP="00BB32AE">
            <w:pPr>
              <w:pStyle w:val="ListParagraph"/>
              <w:numPr>
                <w:ilvl w:val="0"/>
                <w:numId w:val="5"/>
              </w:numPr>
              <w:ind w:left="457" w:hanging="457"/>
              <w:rPr>
                <w:rFonts w:ascii="Verdana" w:eastAsia="Verdana" w:hAnsi="Verdana" w:cs="Verdana"/>
              </w:rPr>
            </w:pPr>
            <w:r>
              <w:rPr>
                <w:rFonts w:ascii="Verdana" w:eastAsia="Verdana" w:hAnsi="Verdana" w:cs="Verdana"/>
              </w:rPr>
              <w:t>Communication skills</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6AFB7A3F" w:rsidR="008D1EBD" w:rsidRPr="00B16BA3" w:rsidRDefault="00E3175A" w:rsidP="007A2214">
            <w:pPr>
              <w:jc w:val="center"/>
              <w:rPr>
                <w:rFonts w:ascii="Verdana" w:hAnsi="Verdana"/>
              </w:rPr>
            </w:pPr>
            <w:r>
              <w:rPr>
                <w:rFonts w:ascii="Verdana" w:hAnsi="Verdana"/>
              </w:rPr>
              <w:t>A/I</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37743010" w:rsidR="00B660F5" w:rsidRPr="007B0D91" w:rsidRDefault="008E4EA1" w:rsidP="00BB32AE">
            <w:pPr>
              <w:pStyle w:val="ListParagraph"/>
              <w:numPr>
                <w:ilvl w:val="0"/>
                <w:numId w:val="5"/>
              </w:numPr>
              <w:ind w:left="457" w:hanging="457"/>
              <w:rPr>
                <w:rFonts w:ascii="Verdana" w:eastAsia="Verdana" w:hAnsi="Verdana" w:cs="Verdana"/>
              </w:rPr>
            </w:pPr>
            <w:r>
              <w:rPr>
                <w:rFonts w:ascii="Verdana" w:eastAsia="Verdana" w:hAnsi="Verdana" w:cs="Verdana"/>
              </w:rPr>
              <w:t>Organisational and planning skills</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460E8B31" w:rsidR="0089447D" w:rsidRDefault="00E3175A" w:rsidP="007A2214">
            <w:pPr>
              <w:jc w:val="center"/>
              <w:rPr>
                <w:rFonts w:ascii="Verdana" w:hAnsi="Verdana" w:cs="Arial"/>
              </w:rPr>
            </w:pPr>
            <w:r>
              <w:rPr>
                <w:rFonts w:ascii="Verdana" w:hAnsi="Verdana" w:cs="Arial"/>
              </w:rPr>
              <w:t>A/I</w:t>
            </w:r>
          </w:p>
        </w:tc>
      </w:tr>
      <w:tr w:rsidR="0089447D" w14:paraId="522D3431" w14:textId="77777777" w:rsidTr="4DC06140">
        <w:trPr>
          <w:trHeight w:val="550"/>
        </w:trPr>
        <w:tc>
          <w:tcPr>
            <w:tcW w:w="5920" w:type="dxa"/>
            <w:vAlign w:val="center"/>
          </w:tcPr>
          <w:p w14:paraId="5F4A0F1A" w14:textId="2C301BFD" w:rsidR="00B660F5" w:rsidRPr="007B0D91" w:rsidRDefault="008E4EA1" w:rsidP="00BB32AE">
            <w:pPr>
              <w:pStyle w:val="ListParagraph"/>
              <w:numPr>
                <w:ilvl w:val="0"/>
                <w:numId w:val="5"/>
              </w:numPr>
              <w:ind w:left="457" w:hanging="457"/>
              <w:rPr>
                <w:rFonts w:ascii="Verdana" w:eastAsia="Verdana" w:hAnsi="Verdana" w:cs="Verdana"/>
              </w:rPr>
            </w:pPr>
            <w:r>
              <w:rPr>
                <w:rFonts w:ascii="Verdana" w:eastAsia="Verdana" w:hAnsi="Verdana" w:cs="Verdana"/>
              </w:rPr>
              <w:t>Diplomacy and independence</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69EA5060" w:rsidR="0089447D" w:rsidRPr="00B16BA3" w:rsidRDefault="00E3175A" w:rsidP="007A2214">
            <w:pPr>
              <w:jc w:val="center"/>
              <w:rPr>
                <w:rFonts w:ascii="Verdana" w:hAnsi="Verdana"/>
              </w:rPr>
            </w:pPr>
            <w:r>
              <w:rPr>
                <w:rFonts w:ascii="Verdana" w:hAnsi="Verdana"/>
              </w:rPr>
              <w:t>A/I</w:t>
            </w: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4486C810" w:rsidR="009C5680" w:rsidRPr="007B0D91" w:rsidRDefault="008E4EA1" w:rsidP="00BB32AE">
            <w:pPr>
              <w:pStyle w:val="ListParagraph"/>
              <w:numPr>
                <w:ilvl w:val="0"/>
                <w:numId w:val="5"/>
              </w:numPr>
              <w:ind w:left="457" w:hanging="457"/>
              <w:rPr>
                <w:rFonts w:ascii="Verdana" w:eastAsia="Verdana" w:hAnsi="Verdana" w:cs="Verdana"/>
              </w:rPr>
            </w:pPr>
            <w:r>
              <w:rPr>
                <w:rFonts w:ascii="Verdana" w:eastAsia="Verdana" w:hAnsi="Verdana" w:cs="Verdana"/>
              </w:rPr>
              <w:t>Integrity and judgement</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6875374F" w:rsidR="0089447D" w:rsidRDefault="00E3175A" w:rsidP="007A2214">
            <w:pPr>
              <w:jc w:val="center"/>
              <w:rPr>
                <w:rFonts w:ascii="Verdana" w:hAnsi="Verdana" w:cs="Arial"/>
              </w:rPr>
            </w:pPr>
            <w:r>
              <w:rPr>
                <w:rFonts w:ascii="Verdana" w:hAnsi="Verdana" w:cs="Arial"/>
              </w:rPr>
              <w:t>A/I</w:t>
            </w:r>
          </w:p>
        </w:tc>
      </w:tr>
      <w:tr w:rsidR="0089447D" w14:paraId="12BA5B52" w14:textId="77777777" w:rsidTr="4DC06140">
        <w:trPr>
          <w:trHeight w:val="550"/>
        </w:trPr>
        <w:tc>
          <w:tcPr>
            <w:tcW w:w="5920" w:type="dxa"/>
            <w:vAlign w:val="center"/>
          </w:tcPr>
          <w:p w14:paraId="6717DB14" w14:textId="7F5C8AB4" w:rsidR="009C5680" w:rsidRPr="007B0D91" w:rsidRDefault="00DE180D" w:rsidP="00BB32AE">
            <w:pPr>
              <w:pStyle w:val="ListParagraph"/>
              <w:numPr>
                <w:ilvl w:val="0"/>
                <w:numId w:val="5"/>
              </w:numPr>
              <w:ind w:left="457" w:hanging="457"/>
              <w:rPr>
                <w:rFonts w:ascii="Verdana" w:eastAsia="Verdana" w:hAnsi="Verdana" w:cs="Verdana"/>
              </w:rPr>
            </w:pPr>
            <w:r>
              <w:rPr>
                <w:rFonts w:ascii="Verdana" w:eastAsia="Verdana" w:hAnsi="Verdana" w:cs="Verdana"/>
              </w:rPr>
              <w:t>Governance/Company Secretary/Senior Admin experience</w:t>
            </w:r>
          </w:p>
        </w:tc>
        <w:tc>
          <w:tcPr>
            <w:tcW w:w="1276" w:type="dxa"/>
            <w:vAlign w:val="center"/>
          </w:tcPr>
          <w:p w14:paraId="5FAFD737" w14:textId="75E119B3" w:rsidR="0089447D" w:rsidRPr="00DE180D" w:rsidRDefault="00DE180D" w:rsidP="00DE180D">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F1A67F9" w14:textId="77777777" w:rsidR="00DE180D" w:rsidRDefault="00DE180D" w:rsidP="00DE180D">
            <w:pP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73D7C9E2" w:rsidR="0089447D" w:rsidRPr="00B16BA3" w:rsidRDefault="00E3175A" w:rsidP="007A2214">
            <w:pPr>
              <w:jc w:val="center"/>
              <w:rPr>
                <w:rFonts w:ascii="Verdana" w:hAnsi="Verdana"/>
              </w:rPr>
            </w:pPr>
            <w:r>
              <w:rPr>
                <w:rFonts w:ascii="Verdana" w:hAnsi="Verdana"/>
              </w:rPr>
              <w:t>A</w:t>
            </w: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4D3F0C03" w:rsidR="00B660F5" w:rsidRPr="007B0D91" w:rsidRDefault="0023283B" w:rsidP="00BB32AE">
            <w:pPr>
              <w:pStyle w:val="ListParagraph"/>
              <w:numPr>
                <w:ilvl w:val="0"/>
                <w:numId w:val="5"/>
              </w:numPr>
              <w:ind w:left="457" w:hanging="457"/>
              <w:rPr>
                <w:rFonts w:ascii="Verdana" w:eastAsia="Verdana" w:hAnsi="Verdana" w:cs="Verdana"/>
              </w:rPr>
            </w:pPr>
            <w:r>
              <w:rPr>
                <w:rFonts w:ascii="Verdana" w:eastAsia="Verdana" w:hAnsi="Verdana" w:cs="Verdana"/>
              </w:rPr>
              <w:t>Influencing skills</w:t>
            </w: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3868CA6E" w:rsidR="0089447D" w:rsidRDefault="00E3175A" w:rsidP="007A2214">
            <w:pPr>
              <w:jc w:val="center"/>
              <w:rPr>
                <w:rFonts w:ascii="Verdana" w:hAnsi="Verdana" w:cs="Arial"/>
              </w:rPr>
            </w:pPr>
            <w:r>
              <w:rPr>
                <w:rFonts w:ascii="Verdana" w:hAnsi="Verdana" w:cs="Arial"/>
              </w:rPr>
              <w:t>I</w:t>
            </w:r>
          </w:p>
        </w:tc>
      </w:tr>
      <w:tr w:rsidR="0089447D" w14:paraId="57AD331A" w14:textId="77777777" w:rsidTr="4DC06140">
        <w:trPr>
          <w:trHeight w:val="550"/>
        </w:trPr>
        <w:tc>
          <w:tcPr>
            <w:tcW w:w="5920" w:type="dxa"/>
            <w:vAlign w:val="center"/>
          </w:tcPr>
          <w:p w14:paraId="7E23C690" w14:textId="6EFD0A5B" w:rsidR="0089447D" w:rsidRPr="007B0D91" w:rsidRDefault="0023283B" w:rsidP="00BB32AE">
            <w:pPr>
              <w:pStyle w:val="ListParagraph"/>
              <w:numPr>
                <w:ilvl w:val="0"/>
                <w:numId w:val="5"/>
              </w:numPr>
              <w:ind w:left="457" w:hanging="457"/>
              <w:rPr>
                <w:rFonts w:ascii="Verdana" w:eastAsia="Verdana" w:hAnsi="Verdana" w:cs="Verdana"/>
              </w:rPr>
            </w:pPr>
            <w:r>
              <w:rPr>
                <w:rFonts w:ascii="Verdana" w:eastAsia="Verdana" w:hAnsi="Verdana" w:cs="Verdana"/>
              </w:rPr>
              <w:t>Subject knowledge through experience and training</w:t>
            </w: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272AA405" w:rsidR="0089447D" w:rsidRPr="00B16BA3" w:rsidRDefault="00E3175A" w:rsidP="007A2214">
            <w:pPr>
              <w:jc w:val="center"/>
              <w:rPr>
                <w:rFonts w:ascii="Verdana" w:hAnsi="Verdana"/>
              </w:rPr>
            </w:pPr>
            <w:r>
              <w:rPr>
                <w:rFonts w:ascii="Verdana" w:hAnsi="Verdana"/>
              </w:rPr>
              <w:t>I</w:t>
            </w: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4E18654C" w:rsidR="004A02A7" w:rsidRPr="007B0D91" w:rsidRDefault="0023283B" w:rsidP="00BB32AE">
            <w:pPr>
              <w:pStyle w:val="ListParagraph"/>
              <w:numPr>
                <w:ilvl w:val="0"/>
                <w:numId w:val="5"/>
              </w:numPr>
              <w:ind w:left="457" w:hanging="457"/>
              <w:rPr>
                <w:rFonts w:ascii="Verdana" w:eastAsia="Verdana" w:hAnsi="Verdana" w:cs="Verdana"/>
              </w:rPr>
            </w:pPr>
            <w:r>
              <w:rPr>
                <w:rFonts w:ascii="Verdana" w:eastAsia="Verdana" w:hAnsi="Verdana" w:cs="Verdana"/>
              </w:rPr>
              <w:t xml:space="preserve">High quality </w:t>
            </w:r>
            <w:r w:rsidR="0098478D">
              <w:rPr>
                <w:rFonts w:ascii="Verdana" w:eastAsia="Verdana" w:hAnsi="Verdana" w:cs="Verdana"/>
              </w:rPr>
              <w:t>governance advice experience</w:t>
            </w:r>
          </w:p>
        </w:tc>
        <w:tc>
          <w:tcPr>
            <w:tcW w:w="1276" w:type="dxa"/>
            <w:vAlign w:val="center"/>
          </w:tcPr>
          <w:p w14:paraId="6056150D" w14:textId="434868DD" w:rsidR="004A02A7" w:rsidRDefault="2CC6124B" w:rsidP="319AFF4E">
            <w:pPr>
              <w:jc w:val="center"/>
              <w:rPr>
                <w:rFonts w:ascii="Verdana" w:eastAsia="Verdana" w:hAnsi="Verdana" w:cs="Verdana"/>
              </w:rPr>
            </w:pPr>
            <w:r w:rsidRPr="319AFF4E">
              <w:rPr>
                <w:rFonts w:ascii="MS Gothic" w:eastAsia="MS Gothic" w:hAnsi="MS Gothic" w:cs="MS Gothic"/>
                <w:lang w:val="en-US"/>
              </w:rPr>
              <w:t>✓</w:t>
            </w:r>
          </w:p>
          <w:p w14:paraId="532A52E2" w14:textId="6799C649" w:rsidR="004A02A7" w:rsidRDefault="004A02A7" w:rsidP="319AFF4E">
            <w:pPr>
              <w:jc w:val="center"/>
              <w:rPr>
                <w:rFonts w:ascii="Verdana" w:hAnsi="Verdana"/>
                <w:b/>
                <w:bCs/>
              </w:rPr>
            </w:pPr>
          </w:p>
        </w:tc>
        <w:tc>
          <w:tcPr>
            <w:tcW w:w="1334" w:type="dxa"/>
            <w:vAlign w:val="center"/>
          </w:tcPr>
          <w:p w14:paraId="19BA8FF4" w14:textId="77777777" w:rsidR="004A02A7" w:rsidRDefault="004A02A7" w:rsidP="007A2214">
            <w:pPr>
              <w:jc w:val="center"/>
              <w:rPr>
                <w:rFonts w:ascii="Verdana" w:hAnsi="Verdana"/>
                <w:b/>
              </w:rPr>
            </w:pPr>
          </w:p>
        </w:tc>
        <w:tc>
          <w:tcPr>
            <w:tcW w:w="1334" w:type="dxa"/>
            <w:vAlign w:val="center"/>
          </w:tcPr>
          <w:p w14:paraId="2531540A" w14:textId="443C79CD" w:rsidR="004A02A7" w:rsidRPr="00B16BA3" w:rsidRDefault="00EF22DE" w:rsidP="007A2214">
            <w:pPr>
              <w:jc w:val="center"/>
              <w:rPr>
                <w:rFonts w:ascii="Verdana" w:hAnsi="Verdana"/>
              </w:rPr>
            </w:pPr>
            <w:r>
              <w:rPr>
                <w:rFonts w:ascii="Verdana" w:hAnsi="Verdana"/>
              </w:rPr>
              <w:t>A</w:t>
            </w:r>
          </w:p>
        </w:tc>
      </w:tr>
      <w:tr w:rsidR="319AFF4E" w14:paraId="0E58EAAE" w14:textId="77777777" w:rsidTr="4DC06140">
        <w:trPr>
          <w:trHeight w:val="300"/>
        </w:trPr>
        <w:tc>
          <w:tcPr>
            <w:tcW w:w="5920" w:type="dxa"/>
            <w:vAlign w:val="center"/>
          </w:tcPr>
          <w:p w14:paraId="14C43B1A" w14:textId="7B833AD1" w:rsidR="319AFF4E" w:rsidRDefault="2E1E807B" w:rsidP="4DC06140">
            <w:pPr>
              <w:pStyle w:val="ListParagraph"/>
              <w:ind w:left="457" w:hanging="457"/>
              <w:rPr>
                <w:rFonts w:ascii="Verdana" w:eastAsia="Verdana" w:hAnsi="Verdana" w:cs="Verdana"/>
              </w:rPr>
            </w:pPr>
            <w:r w:rsidRPr="4DC06140">
              <w:rPr>
                <w:rFonts w:ascii="Verdana" w:eastAsia="Verdana" w:hAnsi="Verdana" w:cs="Verdana"/>
                <w:b/>
                <w:bCs/>
              </w:rPr>
              <w:t>1</w:t>
            </w:r>
            <w:r w:rsidR="161FAFF1" w:rsidRPr="4DC06140">
              <w:rPr>
                <w:rFonts w:ascii="Verdana" w:eastAsia="Verdana" w:hAnsi="Verdana" w:cs="Verdana"/>
                <w:b/>
                <w:bCs/>
              </w:rPr>
              <w:t>5</w:t>
            </w:r>
            <w:r w:rsidRPr="4DC06140">
              <w:rPr>
                <w:rFonts w:ascii="Verdana" w:eastAsia="Verdana" w:hAnsi="Verdana" w:cs="Verdana"/>
                <w:b/>
                <w:bCs/>
              </w:rPr>
              <w:t>.</w:t>
            </w:r>
            <w:r w:rsidR="44677151" w:rsidRPr="4DC06140">
              <w:rPr>
                <w:rFonts w:ascii="Verdana" w:eastAsia="Verdana" w:hAnsi="Verdana" w:cs="Verdana"/>
                <w:b/>
                <w:bCs/>
              </w:rPr>
              <w:t xml:space="preserve"> </w:t>
            </w:r>
            <w:r w:rsidR="0098478D" w:rsidRPr="0098478D">
              <w:rPr>
                <w:rFonts w:ascii="Verdana" w:eastAsia="Verdana" w:hAnsi="Verdana" w:cs="Verdana"/>
              </w:rPr>
              <w:t>Strategic planning ability</w:t>
            </w:r>
          </w:p>
        </w:tc>
        <w:tc>
          <w:tcPr>
            <w:tcW w:w="1276" w:type="dxa"/>
            <w:vAlign w:val="center"/>
          </w:tcPr>
          <w:p w14:paraId="217C6820" w14:textId="7958C013" w:rsidR="0714CF99" w:rsidRDefault="0714CF99" w:rsidP="319AFF4E">
            <w:pPr>
              <w:jc w:val="center"/>
              <w:rPr>
                <w:rFonts w:ascii="Verdana" w:eastAsia="Verdana" w:hAnsi="Verdana" w:cs="Verdana"/>
              </w:rPr>
            </w:pPr>
          </w:p>
        </w:tc>
        <w:tc>
          <w:tcPr>
            <w:tcW w:w="1334" w:type="dxa"/>
            <w:vAlign w:val="center"/>
          </w:tcPr>
          <w:p w14:paraId="240114E7" w14:textId="7C47C74D" w:rsidR="319AFF4E" w:rsidRDefault="0098478D" w:rsidP="319AFF4E">
            <w:pPr>
              <w:jc w:val="center"/>
              <w:rPr>
                <w:rFonts w:ascii="Verdana" w:hAnsi="Verdana" w:cs="Arial"/>
              </w:rPr>
            </w:pPr>
            <w:r w:rsidRPr="319AFF4E">
              <w:rPr>
                <w:rFonts w:ascii="MS Gothic" w:eastAsia="MS Gothic" w:hAnsi="MS Gothic" w:cs="MS Gothic"/>
                <w:lang w:val="en-US"/>
              </w:rPr>
              <w:t>✓</w:t>
            </w:r>
          </w:p>
        </w:tc>
        <w:tc>
          <w:tcPr>
            <w:tcW w:w="1334" w:type="dxa"/>
            <w:vAlign w:val="center"/>
          </w:tcPr>
          <w:p w14:paraId="1974564A" w14:textId="78093B43" w:rsidR="319AFF4E" w:rsidRDefault="00EF22DE" w:rsidP="319AFF4E">
            <w:pPr>
              <w:jc w:val="center"/>
              <w:rPr>
                <w:rFonts w:ascii="Verdana" w:hAnsi="Verdana" w:cs="Arial"/>
              </w:rPr>
            </w:pPr>
            <w:r>
              <w:rPr>
                <w:rFonts w:ascii="Verdana" w:hAnsi="Verdana" w:cs="Arial"/>
              </w:rPr>
              <w:t>I/A</w:t>
            </w:r>
          </w:p>
        </w:tc>
      </w:tr>
      <w:tr w:rsidR="319AFF4E" w14:paraId="13B54E5C"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9C7F940" w14:textId="2D8914FA" w:rsidR="7D2B5D13" w:rsidRDefault="2C75D359" w:rsidP="4DC06140">
            <w:pPr>
              <w:pStyle w:val="ListParagraph"/>
              <w:ind w:left="457" w:hanging="457"/>
              <w:rPr>
                <w:rFonts w:ascii="Verdana" w:eastAsia="Verdana" w:hAnsi="Verdana" w:cs="Verdana"/>
              </w:rPr>
            </w:pPr>
            <w:r w:rsidRPr="4DC06140">
              <w:rPr>
                <w:rFonts w:ascii="Verdana" w:hAnsi="Verdana"/>
                <w:b/>
                <w:bCs/>
              </w:rPr>
              <w:t>16.</w:t>
            </w:r>
            <w:r w:rsidR="0CBBC3AC" w:rsidRPr="4DC06140">
              <w:rPr>
                <w:rFonts w:ascii="Verdana" w:hAnsi="Verdana"/>
                <w:b/>
                <w:bCs/>
              </w:rPr>
              <w:t xml:space="preserve"> </w:t>
            </w:r>
            <w:r w:rsidR="0098478D" w:rsidRPr="0098478D">
              <w:rPr>
                <w:rFonts w:ascii="Verdana" w:hAnsi="Verdana"/>
              </w:rPr>
              <w:t>Autonomous problem-solving</w:t>
            </w:r>
          </w:p>
        </w:tc>
        <w:tc>
          <w:tcPr>
            <w:tcW w:w="1276" w:type="dxa"/>
            <w:vAlign w:val="center"/>
          </w:tcPr>
          <w:p w14:paraId="151EA4FA" w14:textId="047AE2BB" w:rsidR="0714CF99" w:rsidRDefault="0714CF99" w:rsidP="319AFF4E">
            <w:pPr>
              <w:jc w:val="center"/>
              <w:rPr>
                <w:rFonts w:ascii="Verdana" w:eastAsia="Verdana" w:hAnsi="Verdana" w:cs="Verdana"/>
              </w:rPr>
            </w:pPr>
          </w:p>
        </w:tc>
        <w:tc>
          <w:tcPr>
            <w:tcW w:w="1334" w:type="dxa"/>
            <w:vAlign w:val="center"/>
          </w:tcPr>
          <w:p w14:paraId="4DE1E090" w14:textId="016E93B9" w:rsidR="319AFF4E" w:rsidRDefault="0098478D" w:rsidP="319AFF4E">
            <w:pPr>
              <w:jc w:val="center"/>
              <w:rPr>
                <w:rFonts w:ascii="Verdana" w:hAnsi="Verdana"/>
                <w:b/>
                <w:bCs/>
              </w:rPr>
            </w:pPr>
            <w:r w:rsidRPr="319AFF4E">
              <w:rPr>
                <w:rFonts w:ascii="MS Gothic" w:eastAsia="MS Gothic" w:hAnsi="MS Gothic" w:cs="MS Gothic"/>
                <w:lang w:val="en-US"/>
              </w:rPr>
              <w:t>✓</w:t>
            </w:r>
          </w:p>
        </w:tc>
        <w:tc>
          <w:tcPr>
            <w:tcW w:w="1334" w:type="dxa"/>
            <w:vAlign w:val="center"/>
          </w:tcPr>
          <w:p w14:paraId="2C0F3E1D" w14:textId="153372F4" w:rsidR="319AFF4E" w:rsidRDefault="00EF22DE" w:rsidP="319AFF4E">
            <w:pPr>
              <w:jc w:val="center"/>
              <w:rPr>
                <w:rFonts w:ascii="Verdana" w:hAnsi="Verdana"/>
              </w:rPr>
            </w:pPr>
            <w:r>
              <w:rPr>
                <w:rFonts w:ascii="Verdana" w:hAnsi="Verdana"/>
              </w:rPr>
              <w:t>I</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BB32AE">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BB32AE">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BB32AE">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BB32AE">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8240"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8F98" w14:textId="77777777" w:rsidR="001F0CA8" w:rsidRDefault="001F0CA8">
      <w:r>
        <w:separator/>
      </w:r>
    </w:p>
  </w:endnote>
  <w:endnote w:type="continuationSeparator" w:id="0">
    <w:p w14:paraId="4B2E8117" w14:textId="77777777" w:rsidR="001F0CA8" w:rsidRDefault="001F0CA8">
      <w:r>
        <w:continuationSeparator/>
      </w:r>
    </w:p>
  </w:endnote>
  <w:endnote w:type="continuationNotice" w:id="1">
    <w:p w14:paraId="79F952F3" w14:textId="77777777" w:rsidR="001F0CA8" w:rsidRDefault="001F0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9B61" w14:textId="77777777" w:rsidR="001F0CA8" w:rsidRDefault="001F0CA8">
      <w:r>
        <w:separator/>
      </w:r>
    </w:p>
  </w:footnote>
  <w:footnote w:type="continuationSeparator" w:id="0">
    <w:p w14:paraId="5278BD35" w14:textId="77777777" w:rsidR="001F0CA8" w:rsidRDefault="001F0CA8">
      <w:r>
        <w:continuationSeparator/>
      </w:r>
    </w:p>
  </w:footnote>
  <w:footnote w:type="continuationNotice" w:id="1">
    <w:p w14:paraId="71B63020" w14:textId="77777777" w:rsidR="001F0CA8" w:rsidRDefault="001F0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6D5"/>
    <w:multiLevelType w:val="hybridMultilevel"/>
    <w:tmpl w:val="A230BA3E"/>
    <w:lvl w:ilvl="0" w:tplc="44D651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5" w15:restartNumberingAfterBreak="0">
    <w:nsid w:val="465571CB"/>
    <w:multiLevelType w:val="hybridMultilevel"/>
    <w:tmpl w:val="7728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80830"/>
    <w:multiLevelType w:val="hybridMultilevel"/>
    <w:tmpl w:val="A0DEED3E"/>
    <w:lvl w:ilvl="0" w:tplc="44D651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D0FBE"/>
    <w:multiLevelType w:val="hybridMultilevel"/>
    <w:tmpl w:val="48CAD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9970833">
    <w:abstractNumId w:val="4"/>
  </w:num>
  <w:num w:numId="2" w16cid:durableId="63183891">
    <w:abstractNumId w:val="8"/>
  </w:num>
  <w:num w:numId="3" w16cid:durableId="1221479910">
    <w:abstractNumId w:val="2"/>
  </w:num>
  <w:num w:numId="4" w16cid:durableId="989752641">
    <w:abstractNumId w:val="3"/>
  </w:num>
  <w:num w:numId="5" w16cid:durableId="1208301666">
    <w:abstractNumId w:val="1"/>
  </w:num>
  <w:num w:numId="6" w16cid:durableId="143544780">
    <w:abstractNumId w:val="6"/>
  </w:num>
  <w:num w:numId="7" w16cid:durableId="876159815">
    <w:abstractNumId w:val="0"/>
  </w:num>
  <w:num w:numId="8" w16cid:durableId="1455250526">
    <w:abstractNumId w:val="7"/>
  </w:num>
  <w:num w:numId="9" w16cid:durableId="8646327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4B9E"/>
    <w:rsid w:val="000873F5"/>
    <w:rsid w:val="00090267"/>
    <w:rsid w:val="000921F9"/>
    <w:rsid w:val="000A0210"/>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775DD"/>
    <w:rsid w:val="001A0E04"/>
    <w:rsid w:val="001A3AF1"/>
    <w:rsid w:val="001A4677"/>
    <w:rsid w:val="001B026E"/>
    <w:rsid w:val="001C45CF"/>
    <w:rsid w:val="001C4CAE"/>
    <w:rsid w:val="001C6857"/>
    <w:rsid w:val="001F0CA8"/>
    <w:rsid w:val="001F65D6"/>
    <w:rsid w:val="001F7CD9"/>
    <w:rsid w:val="00211616"/>
    <w:rsid w:val="00213791"/>
    <w:rsid w:val="00214C87"/>
    <w:rsid w:val="002173E2"/>
    <w:rsid w:val="0023283B"/>
    <w:rsid w:val="00262F20"/>
    <w:rsid w:val="002639BD"/>
    <w:rsid w:val="00270622"/>
    <w:rsid w:val="00293649"/>
    <w:rsid w:val="0029399A"/>
    <w:rsid w:val="002B2825"/>
    <w:rsid w:val="002B3601"/>
    <w:rsid w:val="002B4997"/>
    <w:rsid w:val="002B6426"/>
    <w:rsid w:val="002C7787"/>
    <w:rsid w:val="002C7D29"/>
    <w:rsid w:val="002F5476"/>
    <w:rsid w:val="002F786F"/>
    <w:rsid w:val="00301D5D"/>
    <w:rsid w:val="00344017"/>
    <w:rsid w:val="00345425"/>
    <w:rsid w:val="003528C3"/>
    <w:rsid w:val="003669BE"/>
    <w:rsid w:val="00367052"/>
    <w:rsid w:val="003701DF"/>
    <w:rsid w:val="0037177D"/>
    <w:rsid w:val="00372F8E"/>
    <w:rsid w:val="00377753"/>
    <w:rsid w:val="00390CA8"/>
    <w:rsid w:val="003C6788"/>
    <w:rsid w:val="003E504F"/>
    <w:rsid w:val="003E64B1"/>
    <w:rsid w:val="00401B39"/>
    <w:rsid w:val="004039D2"/>
    <w:rsid w:val="00405E52"/>
    <w:rsid w:val="00413ACE"/>
    <w:rsid w:val="004143D8"/>
    <w:rsid w:val="00420F85"/>
    <w:rsid w:val="00437367"/>
    <w:rsid w:val="00440935"/>
    <w:rsid w:val="0044175A"/>
    <w:rsid w:val="00453024"/>
    <w:rsid w:val="004737E8"/>
    <w:rsid w:val="004827C8"/>
    <w:rsid w:val="0049023D"/>
    <w:rsid w:val="004971C8"/>
    <w:rsid w:val="004A02A7"/>
    <w:rsid w:val="004A431F"/>
    <w:rsid w:val="004B1CB7"/>
    <w:rsid w:val="004C3E70"/>
    <w:rsid w:val="004C6D1E"/>
    <w:rsid w:val="004E0B8F"/>
    <w:rsid w:val="004E1564"/>
    <w:rsid w:val="004F49E5"/>
    <w:rsid w:val="005102EA"/>
    <w:rsid w:val="00516347"/>
    <w:rsid w:val="00525F7E"/>
    <w:rsid w:val="00531057"/>
    <w:rsid w:val="00536C35"/>
    <w:rsid w:val="0054000D"/>
    <w:rsid w:val="00543330"/>
    <w:rsid w:val="005443BA"/>
    <w:rsid w:val="005463D2"/>
    <w:rsid w:val="005463F6"/>
    <w:rsid w:val="00550D7F"/>
    <w:rsid w:val="00553E65"/>
    <w:rsid w:val="00561DE8"/>
    <w:rsid w:val="00572875"/>
    <w:rsid w:val="0058030B"/>
    <w:rsid w:val="00581376"/>
    <w:rsid w:val="00587EA5"/>
    <w:rsid w:val="00590D93"/>
    <w:rsid w:val="00591219"/>
    <w:rsid w:val="005A2756"/>
    <w:rsid w:val="005B6F6B"/>
    <w:rsid w:val="005C112A"/>
    <w:rsid w:val="005C6468"/>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8194A"/>
    <w:rsid w:val="006B0788"/>
    <w:rsid w:val="006B54CC"/>
    <w:rsid w:val="006C2CA8"/>
    <w:rsid w:val="006C3946"/>
    <w:rsid w:val="006E60C8"/>
    <w:rsid w:val="00713571"/>
    <w:rsid w:val="00724A76"/>
    <w:rsid w:val="00726AF0"/>
    <w:rsid w:val="00771551"/>
    <w:rsid w:val="00773D95"/>
    <w:rsid w:val="0077596A"/>
    <w:rsid w:val="00787CB0"/>
    <w:rsid w:val="00792EC5"/>
    <w:rsid w:val="00796D00"/>
    <w:rsid w:val="007A08FB"/>
    <w:rsid w:val="007A2214"/>
    <w:rsid w:val="007A52CF"/>
    <w:rsid w:val="007B0889"/>
    <w:rsid w:val="007B0D91"/>
    <w:rsid w:val="007B1F4A"/>
    <w:rsid w:val="007C3151"/>
    <w:rsid w:val="007E04B9"/>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CE1"/>
    <w:rsid w:val="008A6D17"/>
    <w:rsid w:val="008B52E5"/>
    <w:rsid w:val="008C1DE1"/>
    <w:rsid w:val="008C4ED5"/>
    <w:rsid w:val="008C58AB"/>
    <w:rsid w:val="008D1EBD"/>
    <w:rsid w:val="008D420D"/>
    <w:rsid w:val="008E3F0A"/>
    <w:rsid w:val="008E4EA1"/>
    <w:rsid w:val="008F07FE"/>
    <w:rsid w:val="008F0A47"/>
    <w:rsid w:val="008F3034"/>
    <w:rsid w:val="0090223E"/>
    <w:rsid w:val="00931271"/>
    <w:rsid w:val="00932496"/>
    <w:rsid w:val="00933E0D"/>
    <w:rsid w:val="00940CDE"/>
    <w:rsid w:val="00943985"/>
    <w:rsid w:val="009524EB"/>
    <w:rsid w:val="00964A78"/>
    <w:rsid w:val="0096569A"/>
    <w:rsid w:val="0096684C"/>
    <w:rsid w:val="00970566"/>
    <w:rsid w:val="00972E46"/>
    <w:rsid w:val="00973EB5"/>
    <w:rsid w:val="0097669B"/>
    <w:rsid w:val="00981C80"/>
    <w:rsid w:val="0098478D"/>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52F1"/>
    <w:rsid w:val="00A93C58"/>
    <w:rsid w:val="00A94806"/>
    <w:rsid w:val="00AA2C8B"/>
    <w:rsid w:val="00AA53D4"/>
    <w:rsid w:val="00AB02F1"/>
    <w:rsid w:val="00AB15CA"/>
    <w:rsid w:val="00AF2B1E"/>
    <w:rsid w:val="00AF4CC4"/>
    <w:rsid w:val="00B04FBF"/>
    <w:rsid w:val="00B05EAC"/>
    <w:rsid w:val="00B12BBE"/>
    <w:rsid w:val="00B16BA3"/>
    <w:rsid w:val="00B308EF"/>
    <w:rsid w:val="00B40D07"/>
    <w:rsid w:val="00B55F29"/>
    <w:rsid w:val="00B6102E"/>
    <w:rsid w:val="00B62B7E"/>
    <w:rsid w:val="00B660F5"/>
    <w:rsid w:val="00B76F4B"/>
    <w:rsid w:val="00B86775"/>
    <w:rsid w:val="00B86D9C"/>
    <w:rsid w:val="00B875FB"/>
    <w:rsid w:val="00B90F2E"/>
    <w:rsid w:val="00B91E43"/>
    <w:rsid w:val="00BB32AE"/>
    <w:rsid w:val="00BC7695"/>
    <w:rsid w:val="00BD72AC"/>
    <w:rsid w:val="00BE0FC7"/>
    <w:rsid w:val="00BE1556"/>
    <w:rsid w:val="00BE24AA"/>
    <w:rsid w:val="00BE770B"/>
    <w:rsid w:val="00BF574C"/>
    <w:rsid w:val="00BF7796"/>
    <w:rsid w:val="00BF79D9"/>
    <w:rsid w:val="00C07385"/>
    <w:rsid w:val="00C1026F"/>
    <w:rsid w:val="00C16C31"/>
    <w:rsid w:val="00C25CC3"/>
    <w:rsid w:val="00C56BD8"/>
    <w:rsid w:val="00C71839"/>
    <w:rsid w:val="00C77C06"/>
    <w:rsid w:val="00C8069D"/>
    <w:rsid w:val="00C82612"/>
    <w:rsid w:val="00C8692F"/>
    <w:rsid w:val="00C87ABD"/>
    <w:rsid w:val="00C9696C"/>
    <w:rsid w:val="00CA1936"/>
    <w:rsid w:val="00CD0C7C"/>
    <w:rsid w:val="00CE38B0"/>
    <w:rsid w:val="00CE54DA"/>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180D"/>
    <w:rsid w:val="00DE2AED"/>
    <w:rsid w:val="00DE6EF7"/>
    <w:rsid w:val="00DF5D1F"/>
    <w:rsid w:val="00E00484"/>
    <w:rsid w:val="00E031EF"/>
    <w:rsid w:val="00E16121"/>
    <w:rsid w:val="00E20633"/>
    <w:rsid w:val="00E21AAF"/>
    <w:rsid w:val="00E2293B"/>
    <w:rsid w:val="00E25488"/>
    <w:rsid w:val="00E3175A"/>
    <w:rsid w:val="00E350CC"/>
    <w:rsid w:val="00E363FA"/>
    <w:rsid w:val="00E672D8"/>
    <w:rsid w:val="00E70D5F"/>
    <w:rsid w:val="00E76510"/>
    <w:rsid w:val="00ED1BAC"/>
    <w:rsid w:val="00EE7FCD"/>
    <w:rsid w:val="00EF22DE"/>
    <w:rsid w:val="00EF2CC6"/>
    <w:rsid w:val="00F0435D"/>
    <w:rsid w:val="00F1308F"/>
    <w:rsid w:val="00F1402B"/>
    <w:rsid w:val="00F1734C"/>
    <w:rsid w:val="00F23E41"/>
    <w:rsid w:val="00F2794D"/>
    <w:rsid w:val="00F27D0F"/>
    <w:rsid w:val="00F40853"/>
    <w:rsid w:val="00F4458C"/>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2D8"/>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E21AAF"/>
    <w:rPr>
      <w:sz w:val="16"/>
      <w:szCs w:val="16"/>
    </w:rPr>
  </w:style>
  <w:style w:type="paragraph" w:styleId="CommentText">
    <w:name w:val="annotation text"/>
    <w:basedOn w:val="Normal"/>
    <w:link w:val="CommentTextChar"/>
    <w:uiPriority w:val="99"/>
    <w:unhideWhenUsed/>
    <w:rsid w:val="00E21AAF"/>
    <w:pPr>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E21AA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AD193-BC04-4EF4-9CE3-9286BE1BC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A39454BB-CB9A-485B-A005-DDB2C250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1532</Words>
  <Characters>7998</Characters>
  <Application>Microsoft Office Word</Application>
  <DocSecurity>0</DocSecurity>
  <Lines>195</Lines>
  <Paragraphs>99</Paragraphs>
  <ScaleCrop>false</ScaleCrop>
  <Company>Stoke On Trent College</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35</cp:revision>
  <cp:lastPrinted>2017-10-04T17:57:00Z</cp:lastPrinted>
  <dcterms:created xsi:type="dcterms:W3CDTF">2025-03-26T07:44:00Z</dcterms:created>
  <dcterms:modified xsi:type="dcterms:W3CDTF">2026-07-01T11:30:00Z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