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4840"/>
        <w:tblBorders>
          <w:top w:val="single" w:color="auto" w:sz="4"/>
          <w:left w:val="single" w:color="auto" w:sz="4"/>
          <w:bottom w:val="single" w:color="auto" w:sz="4"/>
          <w:right w:val="single" w:color="auto" w:sz="4"/>
          <w:insideH w:val="single" w:color="auto" w:sz="4"/>
          <w:insideV w:val="single" w:color="auto" w:sz="4"/>
        </w:tblBorders>
      </w:tblPr>
      <w:tblGrid>
        <w:gridCol w:w="3265"/>
        <w:gridCol w:w="1484"/>
        <w:gridCol w:w="840"/>
        <w:gridCol w:w="840"/>
        <w:gridCol w:w="840"/>
        <w:gridCol w:w="840"/>
        <w:gridCol w:w="840"/>
        <w:gridCol w:w="840"/>
        <w:gridCol w:w="840"/>
        <w:gridCol w:w="840"/>
        <w:gridCol w:w="840"/>
        <w:gridCol w:w="840"/>
        <w:gridCol w:w="840"/>
        <w:gridCol w:w="851"/>
      </w:tblGrid>
      <w:tr>
        <w:tc>
          <w:tcPr>
            <w:tcW w:type="dxa" w:w="14840"/>
            <w:gridSpan w:val="1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b/>
                <w:bCs/>
                <w:sz w:val="22"/>
                <w:szCs w:val="22"/>
              </w:rPr>
              <w:t xml:space="preserve">Telford College Careers Programme 2026/27</w:t>
            </w:r>
          </w:p>
        </w:tc>
      </w:tr>
      <w:tr>
        <w:tc>
          <w:tcPr>
            <w:tcW w:type="dxa" w:w="14840"/>
            <w:gridSpan w:val="14"/>
            <w:tcBorders>
              <w:top w:val="single" w:color="000000" w:sz="4"/>
              <w:left w:val="single" w:color="000000" w:sz="4"/>
              <w:bottom w:val="single" w:color="000000" w:sz="4"/>
              <w:right w:val="single" w:color="000000" w:sz="4"/>
            </w:tcBorders>
            <w:shd w:fill="7030A0" w:color="auto" w:val="clear"/>
            <w:tcMar>
              <w:top w:type="dxa" w:w="60"/>
              <w:left w:type="dxa" w:w="100"/>
              <w:bottom w:type="dxa" w:w="60"/>
              <w:right w:type="dxa" w:w="100"/>
            </w:tcMar>
            <w:vAlign w:val="center"/>
          </w:tcPr>
          <w:p>
            <w:r>
              <w:rPr>
                <w:color w:val="FFFFFF"/>
                <w:sz w:val="20"/>
                <w:szCs w:val="20"/>
              </w:rPr>
              <w:t xml:space="preserve">Telford College has a comprehensive careers plan to ensure students can access high-quality information, advice and guidance during all phases of their journey with us from pre-enrolment to progression beyond the college, whether that is apprenticeship, employment or further study. As a holder of the Matrix Quality Standard, Telford College is committed in ensuring that all students develop the skills and qualifications necessary to progress to their chosen pathway. The Careers Programme below highlights the full range of information, advice and guidance that students receive and can access whilst also showing how these services are mapped against the Gatsby Benchmarks.</w:t>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b/>
                <w:bCs/>
                <w:sz w:val="20"/>
                <w:szCs w:val="20"/>
              </w:rPr>
              <w:t xml:space="preserve">Careers Activity</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b/>
                <w:bCs/>
                <w:sz w:val="20"/>
                <w:szCs w:val="20"/>
              </w:rPr>
              <w:t xml:space="preserve">Gatsby Benchmark</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b/>
                <w:bCs/>
                <w:sz w:val="20"/>
                <w:szCs w:val="20"/>
              </w:rPr>
              <w:t xml:space="preserve">Sep</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b/>
                <w:bCs/>
                <w:sz w:val="20"/>
                <w:szCs w:val="20"/>
              </w:rPr>
              <w:t xml:space="preserve">Oct</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b/>
                <w:bCs/>
                <w:sz w:val="20"/>
                <w:szCs w:val="20"/>
              </w:rPr>
              <w:t xml:space="preserve">Nov</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b/>
                <w:bCs/>
                <w:sz w:val="20"/>
                <w:szCs w:val="20"/>
              </w:rPr>
              <w:t xml:space="preserve">Dec</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b/>
                <w:bCs/>
                <w:sz w:val="20"/>
                <w:szCs w:val="20"/>
              </w:rPr>
              <w:t xml:space="preserve">Jan</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b/>
                <w:bCs/>
                <w:sz w:val="20"/>
                <w:szCs w:val="20"/>
              </w:rPr>
              <w:t xml:space="preserve">Feb</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b/>
                <w:bCs/>
                <w:sz w:val="20"/>
                <w:szCs w:val="20"/>
              </w:rPr>
              <w:t xml:space="preserve">Mar</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b/>
                <w:bCs/>
                <w:sz w:val="20"/>
                <w:szCs w:val="20"/>
              </w:rPr>
              <w:t xml:space="preserve">Apr</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b/>
                <w:bCs/>
                <w:sz w:val="20"/>
                <w:szCs w:val="20"/>
              </w:rPr>
              <w:t xml:space="preserve">May</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b/>
                <w:bCs/>
                <w:sz w:val="20"/>
                <w:szCs w:val="20"/>
              </w:rPr>
              <w:t xml:space="preserve">Jun</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b/>
                <w:bCs/>
                <w:sz w:val="20"/>
                <w:szCs w:val="20"/>
              </w:rPr>
              <w:t xml:space="preserve">Jul</w:t>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b/>
                <w:bCs/>
                <w:sz w:val="20"/>
                <w:szCs w:val="20"/>
              </w:rPr>
              <w:t xml:space="preserve">Aug</w:t>
            </w:r>
          </w:p>
        </w:tc>
      </w:tr>
      <w:tr>
        <w:tc>
          <w:tcPr>
            <w:tcW w:type="dxa" w:w="14840"/>
            <w:gridSpan w:val="14"/>
            <w:tcBorders>
              <w:top w:val="single" w:color="000000" w:sz="4"/>
              <w:left w:val="single" w:color="000000" w:sz="4"/>
              <w:bottom w:val="single" w:color="000000" w:sz="4"/>
              <w:right w:val="single" w:color="000000" w:sz="4"/>
            </w:tcBorders>
            <w:shd w:fill="7030A0" w:color="auto" w:val="clear"/>
            <w:tcMar>
              <w:top w:type="dxa" w:w="60"/>
              <w:left w:type="dxa" w:w="100"/>
              <w:bottom w:type="dxa" w:w="60"/>
              <w:right w:type="dxa" w:w="100"/>
            </w:tcMar>
            <w:vAlign w:val="center"/>
          </w:tcPr>
          <w:p>
            <w:r>
              <w:rPr>
                <w:b/>
                <w:bCs/>
                <w:color w:val="FFFFFF"/>
                <w:sz w:val="20"/>
                <w:szCs w:val="20"/>
              </w:rPr>
              <w:t xml:space="preserve">Career Guidance Opportunities</w:t>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1-1 Career appointments</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Open Evening Careers Advice</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Adults/Evening Careers Advice</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Swap not Drop</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3, 4, 7, 8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Labour Market Information (LMI) sessions</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2, 3, 4</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Personalised support for vulnerable/targeted learners</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3</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r>
      <w:tr>
        <w:tc>
          <w:tcPr>
            <w:tcW w:type="dxa" w:w="14840"/>
            <w:gridSpan w:val="14"/>
            <w:tcBorders>
              <w:top w:val="single" w:color="000000" w:sz="4"/>
              <w:left w:val="single" w:color="000000" w:sz="4"/>
              <w:bottom w:val="single" w:color="000000" w:sz="4"/>
              <w:right w:val="single" w:color="000000" w:sz="4"/>
            </w:tcBorders>
            <w:shd w:fill="7030A0" w:color="auto" w:val="clear"/>
            <w:tcMar>
              <w:top w:type="dxa" w:w="60"/>
              <w:left w:type="dxa" w:w="100"/>
              <w:bottom w:type="dxa" w:w="60"/>
              <w:right w:type="dxa" w:w="100"/>
            </w:tcMar>
            <w:vAlign w:val="center"/>
          </w:tcPr>
          <w:p>
            <w:r>
              <w:rPr>
                <w:b/>
                <w:bCs/>
                <w:color w:val="FFFFFF"/>
                <w:sz w:val="20"/>
                <w:szCs w:val="20"/>
              </w:rPr>
              <w:t xml:space="preserve">Support for Progression to HE</w:t>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UCAS 1-1 Appointments</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UCAS drop-in support</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Student Finance drop-in support</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3, 7, 8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Support for UCAS Clearing</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3, 7, 8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UCAS Discovery</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3, 4, 7, 8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Freshers Fair</w:t>
            </w:r>
          </w:p>
          <w:p>
            <w:r>
              <w:rPr>
                <w:sz w:val="20"/>
                <w:szCs w:val="20"/>
              </w:rPr>
              <w:t xml:space="preserve">(Including University visitors)</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UCAS: Explained (parent talk)</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Student Finance: Explained (parent talk)</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UCAS Application Advice</w:t>
            </w:r>
          </w:p>
          <w:p>
            <w:r>
              <w:rPr>
                <w:sz w:val="20"/>
                <w:szCs w:val="20"/>
              </w:rPr>
              <w:t xml:space="preserve">(Tutorial)</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3, 7, 8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HE interview preparation 1-1</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3, 7, 8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Health HE mock interviews</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14840"/>
            <w:gridSpan w:val="14"/>
            <w:tcBorders>
              <w:top w:val="single" w:color="000000" w:sz="4"/>
              <w:left w:val="single" w:color="000000" w:sz="4"/>
              <w:bottom w:val="single" w:color="000000" w:sz="4"/>
              <w:right w:val="single" w:color="000000" w:sz="4"/>
            </w:tcBorders>
            <w:shd w:fill="7030A0" w:color="auto" w:val="clear"/>
            <w:tcMar>
              <w:top w:type="dxa" w:w="60"/>
              <w:left w:type="dxa" w:w="100"/>
              <w:bottom w:type="dxa" w:w="60"/>
              <w:right w:type="dxa" w:w="100"/>
            </w:tcMar>
            <w:vAlign w:val="center"/>
          </w:tcPr>
          <w:p>
            <w:r>
              <w:rPr>
                <w:b/>
                <w:bCs/>
                <w:color w:val="FFFFFF"/>
                <w:sz w:val="20"/>
                <w:szCs w:val="20"/>
              </w:rPr>
              <w:t xml:space="preserve">Support for Progression within FE</w:t>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School liaison work</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2, 3, 4, 7, 8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Internal progression support</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1, 3, 7, 8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1-1 tutor progression meetings</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r>
      <w:tr>
        <w:tc>
          <w:tcPr>
            <w:tcW w:type="dxa" w:w="14840"/>
            <w:gridSpan w:val="14"/>
            <w:tcBorders>
              <w:top w:val="single" w:color="000000" w:sz="4"/>
              <w:left w:val="single" w:color="000000" w:sz="4"/>
              <w:bottom w:val="single" w:color="000000" w:sz="4"/>
              <w:right w:val="single" w:color="000000" w:sz="4"/>
            </w:tcBorders>
            <w:shd w:fill="7030A0" w:color="auto" w:val="clear"/>
            <w:tcMar>
              <w:top w:type="dxa" w:w="60"/>
              <w:left w:type="dxa" w:w="100"/>
              <w:bottom w:type="dxa" w:w="60"/>
              <w:right w:type="dxa" w:w="100"/>
            </w:tcMar>
            <w:vAlign w:val="center"/>
          </w:tcPr>
          <w:p>
            <w:r>
              <w:rPr>
                <w:b/>
                <w:bCs/>
                <w:color w:val="FFFFFF"/>
                <w:sz w:val="20"/>
                <w:szCs w:val="20"/>
              </w:rPr>
              <w:t xml:space="preserve">Employer Encounters and Employability Skills Development</w:t>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CV, application and covering</w:t>
            </w:r>
          </w:p>
          <w:p>
            <w:r>
              <w:rPr>
                <w:sz w:val="20"/>
                <w:szCs w:val="20"/>
              </w:rPr>
              <w:t xml:space="preserve">letter workshops</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3, 8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Mock interview opportunities</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3, 8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Guest speakers</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2, 4, 5</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Curriculum workplace visits</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2, 3, 4, 5, 6,</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Curriculum specific talks</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1, 2, 3, 4, 5</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Curriculum specific industry</w:t>
            </w:r>
          </w:p>
          <w:p>
            <w:r>
              <w:rPr>
                <w:sz w:val="20"/>
                <w:szCs w:val="20"/>
              </w:rPr>
              <w:t xml:space="preserve">Placements</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2, 3, 4, 5, 6</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Work experience Opportunities</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2, 3, 4, 5, 6</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Careers Fair</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1, 2, 3, 4, 5, 7, 8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National Careers Week</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2, 3, 4, 5</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National Apprenticeship Week</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2, 3, 4, 5</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Telford Skills Show</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5, 7</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
            </w:r>
          </w:p>
        </w:tc>
      </w:tr>
      <w:tr>
        <w:tc>
          <w:tcPr>
            <w:tcW w:type="dxa" w:w="3265"/>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Access to Unifrog</w:t>
            </w:r>
          </w:p>
        </w:tc>
        <w:tc>
          <w:tcPr>
            <w:tcW w:type="dxa" w:w="1484"/>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r>
              <w:rPr>
                <w:sz w:val="20"/>
                <w:szCs w:val="20"/>
              </w:rPr>
              <w:t xml:space="preserve">2, 3, 4, 5, 7, 8</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40"/>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c>
          <w:tcPr>
            <w:tcW w:type="dxa" w:w="851"/>
            <w:tcBorders>
              <w:top w:val="single" w:color="000000" w:sz="4"/>
              <w:left w:val="single" w:color="000000" w:sz="4"/>
              <w:bottom w:val="single" w:color="000000" w:sz="4"/>
              <w:right w:val="single" w:color="000000" w:sz="4"/>
            </w:tcBorders>
            <w:tcMar>
              <w:top w:type="dxa" w:w="60"/>
              <w:left w:type="dxa" w:w="100"/>
              <w:bottom w:type="dxa" w:w="60"/>
              <w:right w:type="dxa" w:w="100"/>
            </w:tcMar>
            <w:vAlign w:val="center"/>
          </w:tcPr>
          <w:p>
            <w:pPr>
              <w:jc w:val="center"/>
            </w:pPr>
            <w:r>
              <w:rPr>
                <w:sz w:val="20"/>
                <w:szCs w:val="20"/>
              </w:rPr>
              <w:t xml:space="preserve">✓</w:t>
            </w:r>
          </w:p>
        </w:tc>
      </w:tr>
      <w:tr>
        <w:tc>
          <w:tcPr>
            <w:tcW w:type="dxa" w:w="14840"/>
            <w:gridSpan w:val="14"/>
            <w:tcBorders>
              <w:top w:val="single" w:color="000000" w:sz="4"/>
              <w:left w:val="single" w:color="000000" w:sz="4"/>
              <w:bottom w:val="single" w:color="000000" w:sz="4"/>
              <w:right w:val="single" w:color="000000" w:sz="4"/>
            </w:tcBorders>
            <w:shd w:fill="7030A0" w:color="auto" w:val="clear"/>
            <w:tcMar>
              <w:top w:type="dxa" w:w="60"/>
              <w:left w:type="dxa" w:w="100"/>
              <w:bottom w:type="dxa" w:w="60"/>
              <w:right w:type="dxa" w:w="100"/>
            </w:tcMar>
            <w:vAlign w:val="center"/>
          </w:tcPr>
          <w:p>
            <w:r>
              <w:rPr>
                <w:b/>
                <w:bCs/>
                <w:color w:val="FFFFFF"/>
                <w:sz w:val="20"/>
                <w:szCs w:val="20"/>
              </w:rPr>
              <w:t xml:space="preserve">Named Careers Lead: Shaun Bickley</w:t>
            </w:r>
          </w:p>
          <w:p>
            <w:r>
              <w:rPr>
                <w:color w:val="FFFFFF"/>
                <w:sz w:val="20"/>
                <w:szCs w:val="20"/>
              </w:rPr>
              <w:t xml:space="preserve">For more information on the activities we provide for students, please contact our careers team on 01952 642340. You can also visit our website: </w:t>
            </w:r>
            <w:hyperlink w:history="1" r:id="rIdtjmoektcmvrlfselsrp66">
              <w:r>
                <w:rPr>
                  <w:color w:val="FFFFFF"/>
                  <w:sz w:val="20"/>
                  <w:szCs w:val="20"/>
                  <w:u w:val="single"/>
                </w:rPr>
                <w:t xml:space="preserve">https://www.telfordcollege.ac.uk/join-us/support/careers-advice/</w:t>
              </w:r>
            </w:hyperlink>
            <w:r>
              <w:rPr>
                <w:color w:val="FFFFFF"/>
                <w:sz w:val="20"/>
                <w:szCs w:val="20"/>
              </w:rPr>
              <w:t xml:space="preserve"> to request a call back from one of our team and for those of you currently studying with us, you can visit our careers team in the Learner Hub.</w:t>
            </w:r>
          </w:p>
        </w:tc>
      </w:tr>
    </w:tbl>
    <w:sectPr>
      <w:headerReference w:type="default" r:id="rId7"/>
      <w:pgSz w:w="16840" w:h="11910" w:orient="landscape"/>
      <w:pgMar w:top="900" w:right="1000" w:bottom="400" w:left="1000" w:header="300" w:footer="20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tbl>
    <w:tblPr>
      <w:tblW w:type="dxa" w:w="14840"/>
      <w:tblBorders>
        <w:top w:val="single" w:color="auto" w:sz="4"/>
        <w:left w:val="single" w:color="auto" w:sz="4"/>
        <w:bottom w:val="single" w:color="auto" w:sz="4"/>
        <w:right w:val="single" w:color="auto" w:sz="4"/>
        <w:insideH w:val="single" w:color="auto" w:sz="4"/>
        <w:insideV w:val="single" w:color="auto" w:sz="4"/>
      </w:tblBorders>
    </w:tblPr>
    <w:tblGrid>
      <w:gridCol w:w="4200"/>
      <w:gridCol w:w="6440"/>
      <w:gridCol w:w="4200"/>
    </w:tblGrid>
    <w:tr>
      <w:tc>
        <w:tcPr>
          <w:tcW w:type="dxa" w:w="4200"/>
          <w:tcBorders>
            <w:top w:val="none"/>
            <w:left w:val="none"/>
            <w:bottom w:val="none"/>
            <w:right w:val="none"/>
          </w:tcBorders>
          <w:vAlign w:val="center"/>
        </w:tcPr>
        <w:p>
          <w:r>
            <w:drawing>
              <wp:inline distT="0" distB="0" distL="0" distR="0">
                <wp:extent cx="1428750" cy="73342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428750" cy="733425"/>
                        </a:xfrm>
                        <a:prstGeom prst="rect">
                          <a:avLst/>
                        </a:prstGeom>
                      </pic:spPr>
                    </pic:pic>
                  </a:graphicData>
                </a:graphic>
              </wp:inline>
            </w:drawing>
          </w:r>
        </w:p>
      </w:tc>
      <w:tc>
        <w:tcPr>
          <w:tcW w:type="dxa" w:w="6440"/>
          <w:tcBorders>
            <w:top w:val="none"/>
            <w:left w:val="none"/>
            <w:bottom w:val="none"/>
            <w:right w:val="none"/>
          </w:tcBorders>
          <w:vAlign w:val="center"/>
        </w:tcPr>
        <w:p>
          <w:pPr>
            <w:jc w:val="center"/>
          </w:pPr>
          <w:r>
            <w:rPr>
              <w:sz w:val="30"/>
              <w:szCs w:val="30"/>
            </w:rPr>
            <w:t xml:space="preserve">Student Services</w:t>
          </w:r>
        </w:p>
      </w:tc>
      <w:tc>
        <w:tcPr>
          <w:tcW w:type="dxa" w:w="4200"/>
          <w:tcBorders>
            <w:top w:val="none"/>
            <w:left w:val="none"/>
            <w:bottom w:val="none"/>
            <w:right w:val="none"/>
          </w:tcBorders>
          <w:vAlign w:val="center"/>
        </w:tcPr>
        <w:p>
          <w:pPr>
            <w:jc w:val="right"/>
          </w:pPr>
          <w:r>
            <w:drawing>
              <wp:inline distT="0" distB="0" distL="0" distR="0">
                <wp:extent cx="1905000" cy="7143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 cstate="none"/>
                        <a:srcRect/>
                        <a:stretch>
                          <a:fillRect/>
                        </a:stretch>
                      </pic:blipFill>
                      <pic:spPr bwMode="auto">
                        <a:xfrm>
                          <a:off x="0" y="0"/>
                          <a:ext cx="1905000" cy="714375"/>
                        </a:xfrm>
                        <a:prstGeom prst="rect">
                          <a:avLst/>
                        </a:prstGeom>
                      </pic:spPr>
                    </pic:pic>
                  </a:graphicData>
                </a:graphic>
              </wp:inline>
            </w:drawing>
          </w:r>
        </w:p>
      </w:tc>
    </w:tr>
  </w:tbl>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tjmoektcmvrlfselsrp66" Type="http://schemas.openxmlformats.org/officeDocument/2006/relationships/hyperlink" Target="https://www.telfordcollege.ac.uk/join-us/support/careers-advice/" TargetMode="Externa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08bdf4a2dfdcfffa10212398c149f4e782f719b3.jpg"/><Relationship Id="rId1" Type="http://schemas.openxmlformats.org/officeDocument/2006/relationships/image" Target="media/d13eeb7c21c0454323f9682103f4c28d37e96488.jp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2026-09-04T21:30:56.048Z</dcterms:created>
  <dcterms:modified xsi:type="dcterms:W3CDTF">2026-09-04T21:30:56.056Z</dcterms:modified>
</cp:coreProperties>
</file>

<file path=docProps/custom.xml><?xml version="1.0" encoding="utf-8"?>
<Properties xmlns="http://schemas.openxmlformats.org/officeDocument/2006/custom-properties" xmlns:vt="http://schemas.openxmlformats.org/officeDocument/2006/docPropsVTypes"/>
</file>